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FCC" w:rsidRPr="00B05623" w:rsidRDefault="00F85FCC" w:rsidP="00F85FCC">
      <w:pPr>
        <w:spacing w:after="0"/>
        <w:jc w:val="center"/>
        <w:rPr>
          <w:rFonts w:ascii="Times New Roman" w:hAnsi="Times New Roman"/>
          <w:b/>
          <w:bCs/>
          <w:sz w:val="24"/>
          <w:szCs w:val="24"/>
          <w:lang w:val="en-US"/>
        </w:rPr>
      </w:pPr>
      <w:r w:rsidRPr="00B05623">
        <w:rPr>
          <w:rFonts w:ascii="Times New Roman" w:hAnsi="Times New Roman"/>
          <w:b/>
          <w:bCs/>
          <w:sz w:val="24"/>
          <w:szCs w:val="24"/>
          <w:lang w:val="en-US"/>
        </w:rPr>
        <w:t>NON-CONVEX SEISMIC ACOUSTIC IMPEDANCE INVERSION</w:t>
      </w:r>
    </w:p>
    <w:p w:rsidR="00BF1C66" w:rsidRDefault="00BF1C66" w:rsidP="00F85FCC">
      <w:pPr>
        <w:spacing w:after="0"/>
        <w:jc w:val="center"/>
        <w:rPr>
          <w:rStyle w:val="hps"/>
          <w:rFonts w:ascii="Times New Roman" w:hAnsi="Times New Roman"/>
          <w:i/>
          <w:iCs/>
          <w:sz w:val="24"/>
          <w:szCs w:val="24"/>
          <w:lang w:val="en-US"/>
        </w:rPr>
      </w:pPr>
    </w:p>
    <w:p w:rsidR="00F85FCC" w:rsidRPr="00A116BE" w:rsidRDefault="00F85FCC" w:rsidP="00C631E2">
      <w:pPr>
        <w:tabs>
          <w:tab w:val="left" w:pos="142"/>
        </w:tabs>
        <w:spacing w:after="0"/>
        <w:jc w:val="center"/>
        <w:rPr>
          <w:rFonts w:ascii="Times New Roman" w:hAnsi="Times New Roman"/>
          <w:b/>
          <w:i/>
          <w:iCs/>
          <w:sz w:val="24"/>
          <w:szCs w:val="24"/>
          <w:lang w:val="en-US"/>
        </w:rPr>
      </w:pPr>
      <w:proofErr w:type="spellStart"/>
      <w:r w:rsidRPr="00A116BE">
        <w:rPr>
          <w:rStyle w:val="hps"/>
          <w:rFonts w:ascii="Times New Roman" w:hAnsi="Times New Roman"/>
          <w:b/>
          <w:i/>
          <w:iCs/>
          <w:sz w:val="24"/>
          <w:szCs w:val="24"/>
          <w:lang w:val="en-US"/>
        </w:rPr>
        <w:t>Amirhossein</w:t>
      </w:r>
      <w:proofErr w:type="spellEnd"/>
      <w:r w:rsidRPr="00A116BE">
        <w:rPr>
          <w:rStyle w:val="hps"/>
          <w:rFonts w:ascii="Times New Roman" w:hAnsi="Times New Roman"/>
          <w:b/>
          <w:i/>
          <w:iCs/>
          <w:sz w:val="24"/>
          <w:szCs w:val="24"/>
          <w:lang w:val="en-US"/>
        </w:rPr>
        <w:t xml:space="preserve"> </w:t>
      </w:r>
      <w:proofErr w:type="spellStart"/>
      <w:r w:rsidRPr="00A116BE">
        <w:rPr>
          <w:rStyle w:val="hps"/>
          <w:rFonts w:ascii="Times New Roman" w:hAnsi="Times New Roman"/>
          <w:b/>
          <w:i/>
          <w:iCs/>
          <w:sz w:val="24"/>
          <w:szCs w:val="24"/>
          <w:lang w:val="en-US"/>
        </w:rPr>
        <w:t>Najafabadipour</w:t>
      </w:r>
      <w:proofErr w:type="spellEnd"/>
      <w:r w:rsidRPr="00A116BE">
        <w:rPr>
          <w:rStyle w:val="hps"/>
          <w:rFonts w:ascii="Times New Roman" w:hAnsi="Times New Roman"/>
          <w:b/>
          <w:i/>
          <w:iCs/>
          <w:sz w:val="24"/>
          <w:szCs w:val="24"/>
          <w:lang w:val="en-US"/>
        </w:rPr>
        <w:t xml:space="preserve">, </w:t>
      </w:r>
      <w:r w:rsidRPr="00A116BE">
        <w:rPr>
          <w:rFonts w:ascii="Times New Roman" w:hAnsi="Times New Roman"/>
          <w:b/>
          <w:i/>
          <w:iCs/>
          <w:sz w:val="24"/>
          <w:szCs w:val="24"/>
          <w:lang w:val="en-US"/>
        </w:rPr>
        <w:t xml:space="preserve">Ali </w:t>
      </w:r>
      <w:proofErr w:type="spellStart"/>
      <w:r w:rsidRPr="00A116BE">
        <w:rPr>
          <w:rFonts w:ascii="Times New Roman" w:hAnsi="Times New Roman"/>
          <w:b/>
          <w:i/>
          <w:iCs/>
          <w:sz w:val="24"/>
          <w:szCs w:val="24"/>
          <w:lang w:val="en-US"/>
        </w:rPr>
        <w:t>Gholami</w:t>
      </w:r>
      <w:proofErr w:type="spellEnd"/>
    </w:p>
    <w:p w:rsidR="00F85FCC" w:rsidRPr="00B05623" w:rsidRDefault="00F85FCC" w:rsidP="00F85FCC">
      <w:pPr>
        <w:spacing w:after="0"/>
        <w:jc w:val="center"/>
        <w:rPr>
          <w:rFonts w:ascii="Times New Roman" w:hAnsi="Times New Roman"/>
          <w:i/>
          <w:iCs/>
          <w:sz w:val="24"/>
          <w:szCs w:val="24"/>
          <w:lang w:val="en-GB"/>
        </w:rPr>
      </w:pPr>
      <w:r w:rsidRPr="00B05623">
        <w:rPr>
          <w:rFonts w:ascii="Times New Roman" w:hAnsi="Times New Roman"/>
          <w:i/>
          <w:iCs/>
          <w:sz w:val="24"/>
          <w:szCs w:val="24"/>
          <w:lang w:val="en-GB"/>
        </w:rPr>
        <w:t xml:space="preserve">Institute of Geophysics university of Tehran, Tehran, Iran </w:t>
      </w:r>
    </w:p>
    <w:p w:rsidR="00F85FCC" w:rsidRPr="00B05623" w:rsidRDefault="0045601A" w:rsidP="00F85FCC">
      <w:pPr>
        <w:spacing w:after="0"/>
        <w:jc w:val="center"/>
        <w:rPr>
          <w:rFonts w:ascii="Times New Roman" w:hAnsi="Times New Roman"/>
          <w:sz w:val="24"/>
          <w:szCs w:val="24"/>
          <w:lang w:val="en-US"/>
        </w:rPr>
      </w:pPr>
      <w:hyperlink r:id="rId5" w:history="1">
        <w:r w:rsidR="00F85FCC" w:rsidRPr="00B05623">
          <w:rPr>
            <w:rStyle w:val="a3"/>
            <w:rFonts w:ascii="Times New Roman" w:hAnsi="Times New Roman"/>
            <w:i/>
            <w:iCs/>
            <w:sz w:val="24"/>
            <w:szCs w:val="24"/>
            <w:lang w:val="en-GB"/>
          </w:rPr>
          <w:t>najafabadipour@ut.ac.ir</w:t>
        </w:r>
      </w:hyperlink>
    </w:p>
    <w:p w:rsidR="00F85FCC" w:rsidRPr="00B05623" w:rsidRDefault="00F85FCC" w:rsidP="00F85FCC">
      <w:pPr>
        <w:spacing w:after="0"/>
        <w:jc w:val="center"/>
        <w:rPr>
          <w:rFonts w:ascii="Times New Roman" w:hAnsi="Times New Roman"/>
          <w:i/>
          <w:iCs/>
          <w:sz w:val="24"/>
          <w:szCs w:val="24"/>
          <w:vertAlign w:val="superscript"/>
          <w:lang w:val="en-US"/>
        </w:rPr>
      </w:pPr>
    </w:p>
    <w:p w:rsidR="00B05623" w:rsidRPr="00B05623" w:rsidRDefault="00F85FCC" w:rsidP="00B05623">
      <w:pPr>
        <w:autoSpaceDE w:val="0"/>
        <w:autoSpaceDN w:val="0"/>
        <w:adjustRightInd w:val="0"/>
        <w:spacing w:after="0"/>
        <w:ind w:firstLine="567"/>
        <w:jc w:val="both"/>
        <w:rPr>
          <w:rFonts w:ascii="Times New Roman" w:hAnsi="Times New Roman"/>
          <w:noProof/>
          <w:sz w:val="24"/>
          <w:szCs w:val="24"/>
          <w:lang w:val="en-GB"/>
        </w:rPr>
      </w:pPr>
      <w:bookmarkStart w:id="0" w:name="Text3"/>
      <w:r w:rsidRPr="00B05623">
        <w:rPr>
          <w:rFonts w:ascii="Times New Roman" w:hAnsi="Times New Roman"/>
          <w:noProof/>
          <w:sz w:val="24"/>
          <w:szCs w:val="24"/>
          <w:lang w:val="en-GB"/>
        </w:rPr>
        <w:t>In an inverse manner, what we perform to obtain the acoustic impedance from seismic data is the application of a processing flow to produce migrated seismic sections, followed by implementing acoustic impedance inversion method. This is a tool to gain a quantitative rock-property describing an a reservoir from migrated seismic data. A critical step in impedance inversion is to remove the source signature from seismic traces to obtain reliable seismic reflectivity series, the so called deconvolution operation. The quality of employed deconvolution algorithm in recovery of the true reflection coefficients is very effective in properly obtaining the true seismic impedances. In this paper, we investigate an acoustic impedance inversion algorithm in which the deconvolution step is performed by a non-Convex programming</w:t>
      </w:r>
      <w:r w:rsidR="00802ED2">
        <w:rPr>
          <w:rFonts w:ascii="Times New Roman" w:hAnsi="Times New Roman"/>
          <w:noProof/>
          <w:sz w:val="24"/>
          <w:szCs w:val="24"/>
          <w:lang w:val="en-GB"/>
        </w:rPr>
        <w:t>.</w:t>
      </w:r>
    </w:p>
    <w:p w:rsidR="00F85FCC" w:rsidRPr="00B05623" w:rsidRDefault="00F85FCC" w:rsidP="00F85FCC">
      <w:pPr>
        <w:autoSpaceDE w:val="0"/>
        <w:autoSpaceDN w:val="0"/>
        <w:adjustRightInd w:val="0"/>
        <w:spacing w:after="0"/>
        <w:ind w:firstLine="567"/>
        <w:jc w:val="both"/>
        <w:rPr>
          <w:rFonts w:ascii="Times New Roman" w:hAnsi="Times New Roman"/>
          <w:sz w:val="24"/>
          <w:szCs w:val="24"/>
          <w:lang w:val="en-US"/>
        </w:rPr>
      </w:pPr>
      <w:r w:rsidRPr="00B05623">
        <w:rPr>
          <w:rFonts w:ascii="Times New Roman" w:hAnsi="Times New Roman"/>
          <w:sz w:val="24"/>
          <w:szCs w:val="24"/>
          <w:lang w:val="en-US"/>
        </w:rPr>
        <w:t>The following explicit relation approximately links the acoustic impedances series, to the seismic reflection series</w:t>
      </w:r>
    </w:p>
    <w:p w:rsidR="00F85FCC" w:rsidRPr="00B05623" w:rsidRDefault="00F85FCC" w:rsidP="00F85FCC">
      <w:pPr>
        <w:autoSpaceDE w:val="0"/>
        <w:autoSpaceDN w:val="0"/>
        <w:adjustRightInd w:val="0"/>
        <w:spacing w:after="0"/>
        <w:ind w:firstLine="567"/>
        <w:jc w:val="right"/>
        <w:rPr>
          <w:rFonts w:ascii="Times New Roman" w:hAnsi="Times New Roman"/>
          <w:sz w:val="24"/>
          <w:szCs w:val="24"/>
          <w:lang w:val="en-US"/>
        </w:rPr>
      </w:pPr>
      <w:r w:rsidRPr="00B05623">
        <w:rPr>
          <w:rFonts w:ascii="Times New Roman" w:hAnsi="Times New Roman"/>
          <w:sz w:val="24"/>
          <w:szCs w:val="24"/>
          <w:lang w:val="en-US"/>
        </w:rPr>
        <w:t>Z</w:t>
      </w:r>
      <w:r w:rsidRPr="00B05623">
        <w:rPr>
          <w:rFonts w:ascii="Times New Roman" w:hAnsi="Times New Roman"/>
          <w:sz w:val="24"/>
          <w:szCs w:val="24"/>
          <w:vertAlign w:val="subscript"/>
          <w:lang w:val="en-US"/>
        </w:rPr>
        <w:t xml:space="preserve">j+1 </w:t>
      </w:r>
      <w:r w:rsidRPr="00B05623">
        <w:rPr>
          <w:rFonts w:ascii="Times New Roman" w:hAnsi="Times New Roman"/>
          <w:sz w:val="24"/>
          <w:szCs w:val="24"/>
          <w:lang w:val="en-US"/>
        </w:rPr>
        <w:t>= Z</w:t>
      </w:r>
      <w:r w:rsidRPr="00B05623">
        <w:rPr>
          <w:rFonts w:ascii="Times New Roman" w:hAnsi="Times New Roman"/>
          <w:sz w:val="24"/>
          <w:szCs w:val="24"/>
          <w:vertAlign w:val="subscript"/>
          <w:lang w:val="en-US"/>
        </w:rPr>
        <w:t xml:space="preserve">1 </w:t>
      </w:r>
      <w:proofErr w:type="spellStart"/>
      <w:r w:rsidRPr="00B05623">
        <w:rPr>
          <w:rFonts w:ascii="Times New Roman" w:hAnsi="Times New Roman"/>
          <w:sz w:val="24"/>
          <w:szCs w:val="24"/>
          <w:lang w:val="en-US"/>
        </w:rPr>
        <w:t>exp</w:t>
      </w:r>
      <w:proofErr w:type="spellEnd"/>
      <w:r w:rsidRPr="00B05623">
        <w:rPr>
          <w:rFonts w:ascii="Times New Roman" w:hAnsi="Times New Roman"/>
          <w:sz w:val="24"/>
          <w:szCs w:val="24"/>
          <w:lang w:val="en-US"/>
        </w:rPr>
        <w:t xml:space="preserve"> (2</w:t>
      </w:r>
      <w:r w:rsidRPr="00B05623">
        <w:rPr>
          <w:rFonts w:ascii="Times New Roman" w:hAnsi="Times New Roman"/>
          <w:sz w:val="24"/>
          <w:szCs w:val="24"/>
        </w:rPr>
        <w:fldChar w:fldCharType="begin"/>
      </w:r>
      <w:r w:rsidRPr="00B05623">
        <w:rPr>
          <w:rFonts w:ascii="Times New Roman" w:hAnsi="Times New Roman"/>
          <w:sz w:val="24"/>
          <w:szCs w:val="24"/>
          <w:lang w:val="en-US"/>
        </w:rPr>
        <w:instrText xml:space="preserve"> QUOTE </w:instrText>
      </w:r>
      <w:r w:rsidRPr="00B05623">
        <w:rPr>
          <w:rFonts w:ascii="Times New Roman" w:hAnsi="Times New Roman"/>
          <w:noProof/>
          <w:sz w:val="24"/>
          <w:szCs w:val="24"/>
          <w:lang w:eastAsia="ru-RU"/>
        </w:rPr>
        <w:drawing>
          <wp:inline distT="0" distB="0" distL="0" distR="0" wp14:anchorId="3F1F4619" wp14:editId="2DD10713">
            <wp:extent cx="372110" cy="457200"/>
            <wp:effectExtent l="0" t="0" r="889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2110" cy="457200"/>
                    </a:xfrm>
                    <a:prstGeom prst="rect">
                      <a:avLst/>
                    </a:prstGeom>
                    <a:noFill/>
                    <a:ln>
                      <a:noFill/>
                    </a:ln>
                  </pic:spPr>
                </pic:pic>
              </a:graphicData>
            </a:graphic>
          </wp:inline>
        </w:drawing>
      </w:r>
      <w:r w:rsidRPr="00B05623">
        <w:rPr>
          <w:rFonts w:ascii="Times New Roman" w:hAnsi="Times New Roman"/>
          <w:sz w:val="24"/>
          <w:szCs w:val="24"/>
          <w:lang w:val="en-US"/>
        </w:rPr>
        <w:instrText xml:space="preserve"> </w:instrText>
      </w:r>
      <w:r w:rsidRPr="00B05623">
        <w:rPr>
          <w:rFonts w:ascii="Times New Roman" w:hAnsi="Times New Roman"/>
          <w:sz w:val="24"/>
          <w:szCs w:val="24"/>
        </w:rPr>
        <w:fldChar w:fldCharType="separate"/>
      </w:r>
      <w:r w:rsidRPr="00B05623">
        <w:rPr>
          <w:rFonts w:ascii="Times New Roman" w:hAnsi="Times New Roman"/>
          <w:noProof/>
          <w:sz w:val="24"/>
          <w:szCs w:val="24"/>
          <w:lang w:eastAsia="ru-RU"/>
        </w:rPr>
        <w:drawing>
          <wp:inline distT="0" distB="0" distL="0" distR="0" wp14:anchorId="47091D26" wp14:editId="43B00BF4">
            <wp:extent cx="372110" cy="457200"/>
            <wp:effectExtent l="0" t="0" r="889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2110" cy="457200"/>
                    </a:xfrm>
                    <a:prstGeom prst="rect">
                      <a:avLst/>
                    </a:prstGeom>
                    <a:noFill/>
                    <a:ln>
                      <a:noFill/>
                    </a:ln>
                  </pic:spPr>
                </pic:pic>
              </a:graphicData>
            </a:graphic>
          </wp:inline>
        </w:drawing>
      </w:r>
      <w:r w:rsidRPr="00B05623">
        <w:rPr>
          <w:rFonts w:ascii="Times New Roman" w:hAnsi="Times New Roman"/>
          <w:sz w:val="24"/>
          <w:szCs w:val="24"/>
        </w:rPr>
        <w:fldChar w:fldCharType="end"/>
      </w:r>
      <w:r w:rsidRPr="00B05623">
        <w:rPr>
          <w:rFonts w:ascii="Times New Roman" w:hAnsi="Times New Roman"/>
          <w:sz w:val="24"/>
          <w:szCs w:val="24"/>
          <w:lang w:val="en-US"/>
        </w:rPr>
        <w:t>)                                                       (1)</w:t>
      </w:r>
    </w:p>
    <w:p w:rsidR="00F85FCC" w:rsidRPr="00B05623" w:rsidRDefault="00F85FCC" w:rsidP="00F85FCC">
      <w:pPr>
        <w:autoSpaceDE w:val="0"/>
        <w:autoSpaceDN w:val="0"/>
        <w:adjustRightInd w:val="0"/>
        <w:spacing w:after="0"/>
        <w:ind w:firstLine="567"/>
        <w:jc w:val="both"/>
        <w:rPr>
          <w:rFonts w:ascii="Times New Roman" w:hAnsi="Times New Roman"/>
          <w:sz w:val="24"/>
          <w:szCs w:val="24"/>
          <w:lang w:val="en-US"/>
        </w:rPr>
      </w:pPr>
      <w:r w:rsidRPr="00B05623">
        <w:rPr>
          <w:rFonts w:ascii="Times New Roman" w:hAnsi="Times New Roman"/>
          <w:sz w:val="24"/>
          <w:szCs w:val="24"/>
          <w:lang w:val="en-US"/>
        </w:rPr>
        <w:t xml:space="preserve"> </w:t>
      </w:r>
      <w:r w:rsidR="00B05623">
        <w:rPr>
          <w:rFonts w:ascii="Times New Roman" w:hAnsi="Times New Roman"/>
          <w:sz w:val="24"/>
          <w:szCs w:val="24"/>
          <w:lang w:val="en-US"/>
        </w:rPr>
        <w:t>F</w:t>
      </w:r>
      <w:r w:rsidRPr="00B05623">
        <w:rPr>
          <w:rFonts w:ascii="Times New Roman" w:hAnsi="Times New Roman"/>
          <w:sz w:val="24"/>
          <w:szCs w:val="24"/>
          <w:lang w:val="en-US"/>
        </w:rPr>
        <w:t xml:space="preserve">or </w:t>
      </w:r>
      <w:r w:rsidRPr="00B05623">
        <w:rPr>
          <w:rFonts w:ascii="Times New Roman" w:hAnsi="Times New Roman"/>
          <w:sz w:val="24"/>
          <w:szCs w:val="24"/>
        </w:rPr>
        <w:fldChar w:fldCharType="begin"/>
      </w:r>
      <w:r w:rsidRPr="00B05623">
        <w:rPr>
          <w:rFonts w:ascii="Times New Roman" w:hAnsi="Times New Roman"/>
          <w:sz w:val="24"/>
          <w:szCs w:val="24"/>
          <w:lang w:val="en-US"/>
        </w:rPr>
        <w:instrText xml:space="preserve"> QUOTE </w:instrText>
      </w:r>
      <w:r w:rsidRPr="00B05623">
        <w:rPr>
          <w:rFonts w:ascii="Times New Roman" w:hAnsi="Times New Roman"/>
          <w:noProof/>
          <w:sz w:val="24"/>
          <w:szCs w:val="24"/>
          <w:lang w:eastAsia="ru-RU"/>
        </w:rPr>
        <w:drawing>
          <wp:inline distT="0" distB="0" distL="0" distR="0" wp14:anchorId="53C75E9D" wp14:editId="2285981C">
            <wp:extent cx="201295" cy="139700"/>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295" cy="139700"/>
                    </a:xfrm>
                    <a:prstGeom prst="rect">
                      <a:avLst/>
                    </a:prstGeom>
                    <a:noFill/>
                    <a:ln>
                      <a:noFill/>
                    </a:ln>
                  </pic:spPr>
                </pic:pic>
              </a:graphicData>
            </a:graphic>
          </wp:inline>
        </w:drawing>
      </w:r>
      <w:r w:rsidRPr="00B05623">
        <w:rPr>
          <w:rFonts w:ascii="Times New Roman" w:hAnsi="Times New Roman"/>
          <w:sz w:val="24"/>
          <w:szCs w:val="24"/>
          <w:lang w:val="en-US"/>
        </w:rPr>
        <w:instrText xml:space="preserve"> </w:instrText>
      </w:r>
      <w:r w:rsidRPr="00B05623">
        <w:rPr>
          <w:rFonts w:ascii="Times New Roman" w:hAnsi="Times New Roman"/>
          <w:sz w:val="24"/>
          <w:szCs w:val="24"/>
        </w:rPr>
        <w:fldChar w:fldCharType="separate"/>
      </w:r>
      <w:r w:rsidRPr="00B05623">
        <w:rPr>
          <w:rFonts w:ascii="Times New Roman" w:hAnsi="Times New Roman"/>
          <w:noProof/>
          <w:sz w:val="24"/>
          <w:szCs w:val="24"/>
          <w:lang w:eastAsia="ru-RU"/>
        </w:rPr>
        <w:drawing>
          <wp:inline distT="0" distB="0" distL="0" distR="0" wp14:anchorId="7A29334C" wp14:editId="19A1F59B">
            <wp:extent cx="201295" cy="139700"/>
            <wp:effectExtent l="0" t="0" r="825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295" cy="139700"/>
                    </a:xfrm>
                    <a:prstGeom prst="rect">
                      <a:avLst/>
                    </a:prstGeom>
                    <a:noFill/>
                    <a:ln>
                      <a:noFill/>
                    </a:ln>
                  </pic:spPr>
                </pic:pic>
              </a:graphicData>
            </a:graphic>
          </wp:inline>
        </w:drawing>
      </w:r>
      <w:r w:rsidRPr="00B05623">
        <w:rPr>
          <w:rFonts w:ascii="Times New Roman" w:hAnsi="Times New Roman"/>
          <w:sz w:val="24"/>
          <w:szCs w:val="24"/>
        </w:rPr>
        <w:fldChar w:fldCharType="end"/>
      </w:r>
      <w:r w:rsidRPr="00B05623">
        <w:rPr>
          <w:rFonts w:ascii="Times New Roman" w:hAnsi="Times New Roman"/>
          <w:sz w:val="24"/>
          <w:szCs w:val="24"/>
          <w:lang w:val="en-US"/>
        </w:rPr>
        <w:t>&lt;&lt;</w:t>
      </w:r>
      <w:proofErr w:type="gramStart"/>
      <w:r w:rsidRPr="00B05623">
        <w:rPr>
          <w:rFonts w:ascii="Times New Roman" w:hAnsi="Times New Roman"/>
          <w:sz w:val="24"/>
          <w:szCs w:val="24"/>
          <w:lang w:val="en-US"/>
        </w:rPr>
        <w:t>1</w:t>
      </w:r>
      <w:proofErr w:type="gramEnd"/>
      <w:r w:rsidRPr="00B05623">
        <w:rPr>
          <w:rFonts w:ascii="Times New Roman" w:hAnsi="Times New Roman"/>
          <w:sz w:val="24"/>
          <w:szCs w:val="24"/>
          <w:lang w:val="en-US"/>
        </w:rPr>
        <w:t xml:space="preserve">. To estimate reflectivity series from migrated seismic traces, a wide range of inversion based deconvolution algorithms </w:t>
      </w:r>
      <w:proofErr w:type="gramStart"/>
      <w:r w:rsidRPr="00B05623">
        <w:rPr>
          <w:rFonts w:ascii="Times New Roman" w:hAnsi="Times New Roman"/>
          <w:sz w:val="24"/>
          <w:szCs w:val="24"/>
          <w:lang w:val="en-US"/>
        </w:rPr>
        <w:t>has been introduced</w:t>
      </w:r>
      <w:proofErr w:type="gramEnd"/>
      <w:r w:rsidRPr="00B05623">
        <w:rPr>
          <w:rFonts w:ascii="Times New Roman" w:hAnsi="Times New Roman"/>
          <w:sz w:val="24"/>
          <w:szCs w:val="24"/>
          <w:lang w:val="en-US"/>
        </w:rPr>
        <w:t xml:space="preserve">. Generally, the </w:t>
      </w:r>
      <w:r w:rsidR="00EB7219" w:rsidRPr="00B05623">
        <w:rPr>
          <w:rFonts w:ascii="Times New Roman" w:hAnsi="Times New Roman"/>
          <w:sz w:val="24"/>
          <w:szCs w:val="24"/>
          <w:lang w:val="en-US"/>
        </w:rPr>
        <w:t>algorithms, which</w:t>
      </w:r>
      <w:r w:rsidRPr="00B05623">
        <w:rPr>
          <w:rFonts w:ascii="Times New Roman" w:hAnsi="Times New Roman"/>
          <w:sz w:val="24"/>
          <w:szCs w:val="24"/>
          <w:lang w:val="en-US"/>
        </w:rPr>
        <w:t xml:space="preserve"> assume a Gaussian distribution of added noise, includes minimization of the following cost function: </w:t>
      </w:r>
    </w:p>
    <w:p w:rsidR="00F85FCC" w:rsidRPr="00B05623" w:rsidRDefault="00F85FCC" w:rsidP="00F85FCC">
      <w:pPr>
        <w:tabs>
          <w:tab w:val="center" w:pos="4513"/>
        </w:tabs>
        <w:autoSpaceDE w:val="0"/>
        <w:autoSpaceDN w:val="0"/>
        <w:adjustRightInd w:val="0"/>
        <w:spacing w:after="0"/>
        <w:ind w:firstLine="567"/>
        <w:jc w:val="right"/>
        <w:rPr>
          <w:rFonts w:ascii="Times New Roman" w:hAnsi="Times New Roman"/>
          <w:sz w:val="24"/>
          <w:szCs w:val="24"/>
          <w:lang w:val="en-US"/>
        </w:rPr>
      </w:pPr>
      <w:r w:rsidRPr="00B05623">
        <w:rPr>
          <w:rFonts w:ascii="Times New Roman" w:hAnsi="Times New Roman"/>
          <w:sz w:val="24"/>
          <w:szCs w:val="24"/>
          <w:lang w:val="en-US"/>
        </w:rPr>
        <w:t xml:space="preserve">r = </w:t>
      </w:r>
      <w:proofErr w:type="spellStart"/>
      <w:r w:rsidRPr="00B05623">
        <w:rPr>
          <w:rFonts w:ascii="Times New Roman" w:hAnsi="Times New Roman"/>
          <w:sz w:val="24"/>
          <w:szCs w:val="24"/>
          <w:lang w:val="en-US"/>
        </w:rPr>
        <w:t>arg</w:t>
      </w:r>
      <w:proofErr w:type="spellEnd"/>
      <w:r w:rsidRPr="00B05623">
        <w:rPr>
          <w:rFonts w:ascii="Times New Roman" w:hAnsi="Times New Roman"/>
          <w:sz w:val="24"/>
          <w:szCs w:val="24"/>
        </w:rPr>
        <w:fldChar w:fldCharType="begin"/>
      </w:r>
      <w:r w:rsidRPr="00B05623">
        <w:rPr>
          <w:rFonts w:ascii="Times New Roman" w:hAnsi="Times New Roman"/>
          <w:sz w:val="24"/>
          <w:szCs w:val="24"/>
          <w:lang w:val="en-US"/>
        </w:rPr>
        <w:instrText xml:space="preserve"> QUOTE </w:instrText>
      </w:r>
      <w:r w:rsidRPr="00B05623">
        <w:rPr>
          <w:rFonts w:ascii="Times New Roman" w:hAnsi="Times New Roman"/>
          <w:noProof/>
          <w:sz w:val="24"/>
          <w:szCs w:val="24"/>
          <w:lang w:eastAsia="ru-RU"/>
        </w:rPr>
        <w:drawing>
          <wp:inline distT="0" distB="0" distL="0" distR="0" wp14:anchorId="7557ECAF" wp14:editId="491FEA50">
            <wp:extent cx="1867535" cy="1549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7535" cy="154940"/>
                    </a:xfrm>
                    <a:prstGeom prst="rect">
                      <a:avLst/>
                    </a:prstGeom>
                    <a:noFill/>
                    <a:ln>
                      <a:noFill/>
                    </a:ln>
                  </pic:spPr>
                </pic:pic>
              </a:graphicData>
            </a:graphic>
          </wp:inline>
        </w:drawing>
      </w:r>
      <w:r w:rsidRPr="00B05623">
        <w:rPr>
          <w:rFonts w:ascii="Times New Roman" w:hAnsi="Times New Roman"/>
          <w:sz w:val="24"/>
          <w:szCs w:val="24"/>
          <w:lang w:val="en-US"/>
        </w:rPr>
        <w:instrText xml:space="preserve"> </w:instrText>
      </w:r>
      <w:r w:rsidRPr="00B05623">
        <w:rPr>
          <w:rFonts w:ascii="Times New Roman" w:hAnsi="Times New Roman"/>
          <w:sz w:val="24"/>
          <w:szCs w:val="24"/>
        </w:rPr>
        <w:fldChar w:fldCharType="separate"/>
      </w:r>
      <w:r w:rsidRPr="00B05623">
        <w:rPr>
          <w:rFonts w:ascii="Times New Roman" w:hAnsi="Times New Roman"/>
          <w:noProof/>
          <w:sz w:val="24"/>
          <w:szCs w:val="24"/>
          <w:lang w:eastAsia="ru-RU"/>
        </w:rPr>
        <w:drawing>
          <wp:inline distT="0" distB="0" distL="0" distR="0" wp14:anchorId="686CD8C0" wp14:editId="32C427D9">
            <wp:extent cx="1867535" cy="1549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7535" cy="154940"/>
                    </a:xfrm>
                    <a:prstGeom prst="rect">
                      <a:avLst/>
                    </a:prstGeom>
                    <a:noFill/>
                    <a:ln>
                      <a:noFill/>
                    </a:ln>
                  </pic:spPr>
                </pic:pic>
              </a:graphicData>
            </a:graphic>
          </wp:inline>
        </w:drawing>
      </w:r>
      <w:r w:rsidRPr="00B05623">
        <w:rPr>
          <w:rFonts w:ascii="Times New Roman" w:hAnsi="Times New Roman"/>
          <w:sz w:val="24"/>
          <w:szCs w:val="24"/>
        </w:rPr>
        <w:fldChar w:fldCharType="end"/>
      </w:r>
      <w:r w:rsidRPr="00B05623">
        <w:rPr>
          <w:rFonts w:ascii="Times New Roman" w:hAnsi="Times New Roman"/>
          <w:sz w:val="24"/>
          <w:szCs w:val="24"/>
          <w:lang w:val="en-US"/>
        </w:rPr>
        <w:t>+</w:t>
      </w:r>
      <w:r w:rsidRPr="00B05623">
        <w:rPr>
          <w:rFonts w:ascii="Times New Roman" w:hAnsi="Times New Roman"/>
          <w:sz w:val="24"/>
          <w:szCs w:val="24"/>
        </w:rPr>
        <w:t>λ</w:t>
      </w:r>
      <w:r w:rsidRPr="00B05623">
        <w:rPr>
          <w:rFonts w:ascii="Times New Roman" w:hAnsi="Times New Roman"/>
          <w:sz w:val="24"/>
          <w:szCs w:val="24"/>
          <w:lang w:val="en-US"/>
        </w:rPr>
        <w:t xml:space="preserve"> </w:t>
      </w:r>
      <w:r w:rsidRPr="00B05623">
        <w:rPr>
          <w:rFonts w:ascii="Times New Roman" w:hAnsi="Times New Roman"/>
          <w:sz w:val="24"/>
          <w:szCs w:val="24"/>
        </w:rPr>
        <w:t>φ</w:t>
      </w:r>
      <w:r w:rsidRPr="00B05623">
        <w:rPr>
          <w:rFonts w:ascii="Times New Roman" w:hAnsi="Times New Roman"/>
          <w:sz w:val="24"/>
          <w:szCs w:val="24"/>
          <w:lang w:val="en-US"/>
        </w:rPr>
        <w:t xml:space="preserve">                                               (2)</w:t>
      </w:r>
    </w:p>
    <w:p w:rsidR="00F85FCC" w:rsidRPr="00B05623" w:rsidRDefault="00F85FCC" w:rsidP="00F85FCC">
      <w:pPr>
        <w:autoSpaceDE w:val="0"/>
        <w:autoSpaceDN w:val="0"/>
        <w:adjustRightInd w:val="0"/>
        <w:spacing w:after="0"/>
        <w:ind w:firstLine="567"/>
        <w:jc w:val="both"/>
        <w:rPr>
          <w:rFonts w:ascii="Times New Roman" w:hAnsi="Times New Roman"/>
          <w:sz w:val="24"/>
          <w:szCs w:val="24"/>
          <w:lang w:val="en-US"/>
        </w:rPr>
      </w:pPr>
      <w:r w:rsidRPr="00B05623">
        <w:rPr>
          <w:rFonts w:ascii="Times New Roman" w:hAnsi="Times New Roman"/>
          <w:sz w:val="24"/>
          <w:szCs w:val="24"/>
          <w:lang w:val="en-US"/>
        </w:rPr>
        <w:t xml:space="preserve">The regularization term, </w:t>
      </w:r>
      <w:r w:rsidRPr="00B05623">
        <w:rPr>
          <w:rFonts w:ascii="Times New Roman" w:hAnsi="Times New Roman"/>
          <w:sz w:val="24"/>
          <w:szCs w:val="24"/>
        </w:rPr>
        <w:t>φ</w:t>
      </w:r>
      <w:r w:rsidRPr="00B05623">
        <w:rPr>
          <w:rFonts w:ascii="Times New Roman" w:hAnsi="Times New Roman"/>
          <w:sz w:val="24"/>
          <w:szCs w:val="24"/>
          <w:lang w:val="en-US"/>
        </w:rPr>
        <w:t xml:space="preserve"> (m), controls the behavior of obtained solutions. The most common term to use is </w:t>
      </w:r>
      <w:r w:rsidRPr="00B05623">
        <w:rPr>
          <w:rFonts w:ascii="Times New Roman" w:hAnsi="Times New Roman"/>
          <w:i/>
          <w:iCs/>
          <w:sz w:val="24"/>
          <w:szCs w:val="24"/>
          <w:lang w:val="en-US"/>
        </w:rPr>
        <w:t>l</w:t>
      </w:r>
      <w:r w:rsidRPr="00B05623">
        <w:rPr>
          <w:rFonts w:ascii="Times New Roman" w:hAnsi="Times New Roman"/>
          <w:i/>
          <w:iCs/>
          <w:sz w:val="24"/>
          <w:szCs w:val="24"/>
          <w:vertAlign w:val="subscript"/>
          <w:lang w:val="en-US"/>
        </w:rPr>
        <w:t>2</w:t>
      </w:r>
      <w:r w:rsidRPr="00B05623">
        <w:rPr>
          <w:rFonts w:ascii="Times New Roman" w:hAnsi="Times New Roman"/>
          <w:sz w:val="24"/>
          <w:szCs w:val="24"/>
          <w:lang w:val="en-US"/>
        </w:rPr>
        <w:t xml:space="preserve"> and </w:t>
      </w:r>
      <w:r w:rsidRPr="00B05623">
        <w:rPr>
          <w:rFonts w:ascii="Times New Roman" w:hAnsi="Times New Roman"/>
          <w:i/>
          <w:iCs/>
          <w:sz w:val="24"/>
          <w:szCs w:val="24"/>
          <w:lang w:val="en-US"/>
        </w:rPr>
        <w:t>l</w:t>
      </w:r>
      <w:r w:rsidRPr="00B05623">
        <w:rPr>
          <w:rFonts w:ascii="Times New Roman" w:hAnsi="Times New Roman"/>
          <w:i/>
          <w:iCs/>
          <w:sz w:val="24"/>
          <w:szCs w:val="24"/>
          <w:vertAlign w:val="subscript"/>
          <w:lang w:val="en-US"/>
        </w:rPr>
        <w:t>1</w:t>
      </w:r>
      <w:r w:rsidRPr="00B05623">
        <w:rPr>
          <w:rFonts w:ascii="Times New Roman" w:hAnsi="Times New Roman"/>
          <w:sz w:val="24"/>
          <w:szCs w:val="24"/>
          <w:lang w:val="en-US"/>
        </w:rPr>
        <w:t xml:space="preserve">–norm of the model, which </w:t>
      </w:r>
      <w:proofErr w:type="gramStart"/>
      <w:r w:rsidRPr="00B05623">
        <w:rPr>
          <w:rFonts w:ascii="Times New Roman" w:hAnsi="Times New Roman"/>
          <w:sz w:val="24"/>
          <w:szCs w:val="24"/>
          <w:lang w:val="en-US"/>
        </w:rPr>
        <w:t>is known</w:t>
      </w:r>
      <w:proofErr w:type="gramEnd"/>
      <w:r w:rsidRPr="00B05623">
        <w:rPr>
          <w:rFonts w:ascii="Times New Roman" w:hAnsi="Times New Roman"/>
          <w:sz w:val="24"/>
          <w:szCs w:val="24"/>
          <w:lang w:val="en-US"/>
        </w:rPr>
        <w:t xml:space="preserve"> as Wiener and sparse deconvolution, respectively. Although, It has been shown that using the sparse deconvolution leads to sparse recovery of reflectivity series (which is more consistent to reality), it </w:t>
      </w:r>
      <w:r w:rsidR="00EB7219" w:rsidRPr="00B05623">
        <w:rPr>
          <w:rFonts w:ascii="Times New Roman" w:hAnsi="Times New Roman"/>
          <w:sz w:val="24"/>
          <w:szCs w:val="24"/>
          <w:lang w:val="en-US"/>
        </w:rPr>
        <w:t>does not</w:t>
      </w:r>
      <w:r w:rsidRPr="00B05623">
        <w:rPr>
          <w:rFonts w:ascii="Times New Roman" w:hAnsi="Times New Roman"/>
          <w:sz w:val="24"/>
          <w:szCs w:val="24"/>
          <w:lang w:val="en-US"/>
        </w:rPr>
        <w:t xml:space="preserve"> lead to the true estimation of reflectivity amplitude. </w:t>
      </w:r>
    </w:p>
    <w:p w:rsidR="00F85FCC" w:rsidRPr="00B05623" w:rsidRDefault="00F85FCC" w:rsidP="00F85FCC">
      <w:pPr>
        <w:autoSpaceDE w:val="0"/>
        <w:autoSpaceDN w:val="0"/>
        <w:adjustRightInd w:val="0"/>
        <w:spacing w:after="0"/>
        <w:ind w:firstLine="567"/>
        <w:jc w:val="both"/>
        <w:rPr>
          <w:rFonts w:ascii="Times New Roman" w:hAnsi="Times New Roman"/>
          <w:sz w:val="24"/>
          <w:szCs w:val="24"/>
          <w:lang w:val="en-US"/>
        </w:rPr>
      </w:pPr>
      <w:r w:rsidRPr="00B05623">
        <w:rPr>
          <w:rFonts w:ascii="Times New Roman" w:hAnsi="Times New Roman"/>
          <w:sz w:val="24"/>
          <w:szCs w:val="24"/>
          <w:lang w:val="en-US"/>
        </w:rPr>
        <w:t>To combat the problem, here we employ the generalized potential function</w:t>
      </w:r>
    </w:p>
    <w:p w:rsidR="00F85FCC" w:rsidRPr="00B05623" w:rsidRDefault="00F85FCC" w:rsidP="00F85FCC">
      <w:pPr>
        <w:autoSpaceDE w:val="0"/>
        <w:autoSpaceDN w:val="0"/>
        <w:adjustRightInd w:val="0"/>
        <w:spacing w:after="0"/>
        <w:jc w:val="right"/>
        <w:rPr>
          <w:rFonts w:ascii="Times New Roman" w:hAnsi="Times New Roman"/>
          <w:sz w:val="24"/>
          <w:szCs w:val="24"/>
          <w:lang w:val="en-US"/>
        </w:rPr>
      </w:pPr>
      <w:r w:rsidRPr="00B05623">
        <w:rPr>
          <w:rFonts w:ascii="Times New Roman" w:hAnsi="Times New Roman"/>
          <w:sz w:val="24"/>
          <w:szCs w:val="24"/>
        </w:rPr>
        <w:fldChar w:fldCharType="begin"/>
      </w:r>
      <w:r w:rsidRPr="00B05623">
        <w:rPr>
          <w:rFonts w:ascii="Times New Roman" w:hAnsi="Times New Roman"/>
          <w:sz w:val="24"/>
          <w:szCs w:val="24"/>
          <w:lang w:val="en-US"/>
        </w:rPr>
        <w:instrText xml:space="preserve"> QUOTE </w:instrText>
      </w:r>
      <w:r w:rsidRPr="00B05623">
        <w:rPr>
          <w:rFonts w:ascii="Times New Roman" w:hAnsi="Times New Roman"/>
          <w:noProof/>
          <w:sz w:val="24"/>
          <w:szCs w:val="24"/>
          <w:lang w:eastAsia="ru-RU"/>
        </w:rPr>
        <w:drawing>
          <wp:inline distT="0" distB="0" distL="0" distR="0" wp14:anchorId="2A399177" wp14:editId="7D8E4FB4">
            <wp:extent cx="201295" cy="193675"/>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295" cy="193675"/>
                    </a:xfrm>
                    <a:prstGeom prst="rect">
                      <a:avLst/>
                    </a:prstGeom>
                    <a:noFill/>
                    <a:ln>
                      <a:noFill/>
                    </a:ln>
                  </pic:spPr>
                </pic:pic>
              </a:graphicData>
            </a:graphic>
          </wp:inline>
        </w:drawing>
      </w:r>
      <w:r w:rsidRPr="00B05623">
        <w:rPr>
          <w:rFonts w:ascii="Times New Roman" w:hAnsi="Times New Roman"/>
          <w:sz w:val="24"/>
          <w:szCs w:val="24"/>
          <w:lang w:val="en-US"/>
        </w:rPr>
        <w:instrText xml:space="preserve"> </w:instrText>
      </w:r>
      <w:r w:rsidRPr="00B05623">
        <w:rPr>
          <w:rFonts w:ascii="Times New Roman" w:hAnsi="Times New Roman"/>
          <w:sz w:val="24"/>
          <w:szCs w:val="24"/>
        </w:rPr>
        <w:fldChar w:fldCharType="separate"/>
      </w:r>
      <w:r w:rsidRPr="00B05623">
        <w:rPr>
          <w:rFonts w:ascii="Times New Roman" w:hAnsi="Times New Roman"/>
          <w:noProof/>
          <w:sz w:val="24"/>
          <w:szCs w:val="24"/>
          <w:lang w:eastAsia="ru-RU"/>
        </w:rPr>
        <w:drawing>
          <wp:inline distT="0" distB="0" distL="0" distR="0" wp14:anchorId="5794A58C" wp14:editId="7C9FE11E">
            <wp:extent cx="201295" cy="186055"/>
            <wp:effectExtent l="0" t="0" r="8255"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295" cy="186055"/>
                    </a:xfrm>
                    <a:prstGeom prst="rect">
                      <a:avLst/>
                    </a:prstGeom>
                    <a:noFill/>
                    <a:ln>
                      <a:noFill/>
                    </a:ln>
                  </pic:spPr>
                </pic:pic>
              </a:graphicData>
            </a:graphic>
          </wp:inline>
        </w:drawing>
      </w:r>
      <w:r w:rsidRPr="00B05623">
        <w:rPr>
          <w:rFonts w:ascii="Times New Roman" w:hAnsi="Times New Roman"/>
          <w:sz w:val="24"/>
          <w:szCs w:val="24"/>
        </w:rPr>
        <w:fldChar w:fldCharType="end"/>
      </w:r>
      <w:r w:rsidRPr="00B05623">
        <w:rPr>
          <w:rFonts w:ascii="Times New Roman" w:hAnsi="Times New Roman"/>
          <w:sz w:val="24"/>
          <w:szCs w:val="24"/>
          <w:lang w:val="en-US"/>
        </w:rPr>
        <w:t>(m) =</w:t>
      </w:r>
      <w:r w:rsidRPr="00B05623">
        <w:rPr>
          <w:rFonts w:ascii="Times New Roman" w:hAnsi="Times New Roman"/>
          <w:sz w:val="24"/>
          <w:szCs w:val="24"/>
        </w:rPr>
        <w:fldChar w:fldCharType="begin"/>
      </w:r>
      <w:r w:rsidRPr="00B05623">
        <w:rPr>
          <w:rFonts w:ascii="Times New Roman" w:hAnsi="Times New Roman"/>
          <w:sz w:val="24"/>
          <w:szCs w:val="24"/>
          <w:lang w:val="en-US"/>
        </w:rPr>
        <w:instrText xml:space="preserve"> QUOTE </w:instrText>
      </w:r>
      <w:r w:rsidRPr="00B05623">
        <w:rPr>
          <w:rFonts w:ascii="Times New Roman" w:hAnsi="Times New Roman"/>
          <w:noProof/>
          <w:sz w:val="24"/>
          <w:szCs w:val="24"/>
          <w:lang w:eastAsia="ru-RU"/>
        </w:rPr>
        <w:drawing>
          <wp:inline distT="0" distB="0" distL="0" distR="0" wp14:anchorId="1C8C465E" wp14:editId="4C745166">
            <wp:extent cx="2115820" cy="4883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5820" cy="488315"/>
                    </a:xfrm>
                    <a:prstGeom prst="rect">
                      <a:avLst/>
                    </a:prstGeom>
                    <a:noFill/>
                    <a:ln>
                      <a:noFill/>
                    </a:ln>
                  </pic:spPr>
                </pic:pic>
              </a:graphicData>
            </a:graphic>
          </wp:inline>
        </w:drawing>
      </w:r>
      <w:r w:rsidRPr="00B05623">
        <w:rPr>
          <w:rFonts w:ascii="Times New Roman" w:hAnsi="Times New Roman"/>
          <w:sz w:val="24"/>
          <w:szCs w:val="24"/>
          <w:lang w:val="en-US"/>
        </w:rPr>
        <w:instrText xml:space="preserve"> </w:instrText>
      </w:r>
      <w:r w:rsidRPr="00B05623">
        <w:rPr>
          <w:rFonts w:ascii="Times New Roman" w:hAnsi="Times New Roman"/>
          <w:sz w:val="24"/>
          <w:szCs w:val="24"/>
        </w:rPr>
        <w:fldChar w:fldCharType="separate"/>
      </w:r>
      <w:r w:rsidRPr="00B05623">
        <w:rPr>
          <w:rFonts w:ascii="Times New Roman" w:hAnsi="Times New Roman"/>
          <w:noProof/>
          <w:sz w:val="24"/>
          <w:szCs w:val="24"/>
          <w:lang w:eastAsia="ru-RU"/>
        </w:rPr>
        <w:drawing>
          <wp:inline distT="0" distB="0" distL="0" distR="0" wp14:anchorId="25639A50" wp14:editId="7923A3E2">
            <wp:extent cx="2115820" cy="4883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5820" cy="488315"/>
                    </a:xfrm>
                    <a:prstGeom prst="rect">
                      <a:avLst/>
                    </a:prstGeom>
                    <a:noFill/>
                    <a:ln>
                      <a:noFill/>
                    </a:ln>
                  </pic:spPr>
                </pic:pic>
              </a:graphicData>
            </a:graphic>
          </wp:inline>
        </w:drawing>
      </w:r>
      <w:r w:rsidRPr="00B05623">
        <w:rPr>
          <w:rFonts w:ascii="Times New Roman" w:hAnsi="Times New Roman"/>
          <w:sz w:val="24"/>
          <w:szCs w:val="24"/>
        </w:rPr>
        <w:fldChar w:fldCharType="end"/>
      </w:r>
      <w:r w:rsidRPr="00B05623">
        <w:rPr>
          <w:rFonts w:ascii="Times New Roman" w:hAnsi="Times New Roman"/>
          <w:sz w:val="24"/>
          <w:szCs w:val="24"/>
          <w:lang w:val="en-US"/>
        </w:rPr>
        <w:t xml:space="preserve"> ,                                             (3)</w:t>
      </w:r>
    </w:p>
    <w:p w:rsidR="00F85FCC" w:rsidRPr="00B05623" w:rsidRDefault="00B05623" w:rsidP="00F85FCC">
      <w:pPr>
        <w:autoSpaceDE w:val="0"/>
        <w:autoSpaceDN w:val="0"/>
        <w:adjustRightInd w:val="0"/>
        <w:spacing w:after="0"/>
        <w:ind w:firstLine="567"/>
        <w:jc w:val="both"/>
        <w:rPr>
          <w:rFonts w:ascii="Times New Roman" w:hAnsi="Times New Roman"/>
          <w:sz w:val="24"/>
          <w:szCs w:val="24"/>
          <w:lang w:val="en-US"/>
        </w:rPr>
      </w:pPr>
      <w:r>
        <w:rPr>
          <w:rFonts w:ascii="Times New Roman" w:hAnsi="Times New Roman"/>
          <w:sz w:val="24"/>
          <w:szCs w:val="24"/>
          <w:lang w:val="en-US"/>
        </w:rPr>
        <w:t>T</w:t>
      </w:r>
      <w:r w:rsidR="00F85FCC" w:rsidRPr="00B05623">
        <w:rPr>
          <w:rFonts w:ascii="Times New Roman" w:hAnsi="Times New Roman"/>
          <w:sz w:val="24"/>
          <w:szCs w:val="24"/>
          <w:lang w:val="en-US"/>
        </w:rPr>
        <w:t xml:space="preserve">he </w:t>
      </w:r>
      <w:r w:rsidRPr="00B05623">
        <w:rPr>
          <w:rFonts w:ascii="Times New Roman" w:hAnsi="Times New Roman"/>
          <w:sz w:val="24"/>
          <w:szCs w:val="24"/>
          <w:lang w:val="en-US"/>
        </w:rPr>
        <w:t>capability</w:t>
      </w:r>
      <w:r w:rsidR="00F85FCC" w:rsidRPr="00B05623">
        <w:rPr>
          <w:rFonts w:ascii="Times New Roman" w:hAnsi="Times New Roman"/>
          <w:sz w:val="24"/>
          <w:szCs w:val="24"/>
          <w:lang w:val="en-US"/>
        </w:rPr>
        <w:t xml:space="preserve"> in more accurate estimation of reflector amplitude, while retaining the sparsity properties, is considered. </w:t>
      </w:r>
      <w:bookmarkEnd w:id="0"/>
      <w:r w:rsidR="00F85FCC" w:rsidRPr="00B05623">
        <w:rPr>
          <w:rFonts w:ascii="Times New Roman" w:hAnsi="Times New Roman"/>
          <w:sz w:val="24"/>
          <w:szCs w:val="24"/>
          <w:lang w:val="en-US"/>
        </w:rPr>
        <w:t>The following example presents a typical acoustic impedance inversion by employing the proposed method.</w:t>
      </w:r>
    </w:p>
    <w:p w:rsidR="00F85FCC" w:rsidRPr="00B05623" w:rsidRDefault="00F85FCC" w:rsidP="00F85FCC">
      <w:pPr>
        <w:pStyle w:val="Normal11ptjustified"/>
        <w:ind w:firstLine="567"/>
        <w:rPr>
          <w:noProof/>
          <w:sz w:val="24"/>
          <w:szCs w:val="24"/>
        </w:rPr>
      </w:pPr>
      <w:r w:rsidRPr="00B05623">
        <w:rPr>
          <w:sz w:val="24"/>
          <w:szCs w:val="24"/>
        </w:rPr>
        <w:t xml:space="preserve">A synthetic model </w:t>
      </w:r>
      <w:proofErr w:type="gramStart"/>
      <w:r w:rsidRPr="00B05623">
        <w:rPr>
          <w:sz w:val="24"/>
          <w:szCs w:val="24"/>
        </w:rPr>
        <w:t>is generated</w:t>
      </w:r>
      <w:proofErr w:type="gramEnd"/>
      <w:r w:rsidRPr="00B05623">
        <w:rPr>
          <w:sz w:val="24"/>
          <w:szCs w:val="24"/>
        </w:rPr>
        <w:t xml:space="preserve"> for a geological model with </w:t>
      </w:r>
      <w:r w:rsidR="00EB7219" w:rsidRPr="00B05623">
        <w:rPr>
          <w:sz w:val="24"/>
          <w:szCs w:val="24"/>
        </w:rPr>
        <w:t>six</w:t>
      </w:r>
      <w:r w:rsidRPr="00B05623">
        <w:rPr>
          <w:sz w:val="24"/>
          <w:szCs w:val="24"/>
        </w:rPr>
        <w:t xml:space="preserve"> horizontal layers with constant density and velocity (Table). </w:t>
      </w:r>
      <w:r w:rsidRPr="00B05623">
        <w:rPr>
          <w:noProof/>
          <w:sz w:val="24"/>
          <w:szCs w:val="24"/>
        </w:rPr>
        <w:t xml:space="preserve">The generated trace added with Gaussian noises (S/N=10 db) is shown </w:t>
      </w:r>
      <w:r w:rsidR="00802ED2">
        <w:rPr>
          <w:noProof/>
          <w:sz w:val="24"/>
          <w:szCs w:val="24"/>
        </w:rPr>
        <w:t>(</w:t>
      </w:r>
      <w:r w:rsidRPr="00B05623">
        <w:rPr>
          <w:noProof/>
          <w:sz w:val="24"/>
          <w:szCs w:val="24"/>
        </w:rPr>
        <w:t>Fig</w:t>
      </w:r>
      <w:r w:rsidR="00802ED2">
        <w:rPr>
          <w:noProof/>
          <w:sz w:val="24"/>
          <w:szCs w:val="24"/>
        </w:rPr>
        <w:t xml:space="preserve">ure </w:t>
      </w:r>
      <w:r w:rsidRPr="00B05623">
        <w:rPr>
          <w:noProof/>
          <w:sz w:val="24"/>
          <w:szCs w:val="24"/>
        </w:rPr>
        <w:t xml:space="preserve"> (a)</w:t>
      </w:r>
      <w:r w:rsidR="00802ED2">
        <w:rPr>
          <w:noProof/>
          <w:sz w:val="24"/>
          <w:szCs w:val="24"/>
        </w:rPr>
        <w:t>)</w:t>
      </w:r>
      <w:r w:rsidRPr="00B05623">
        <w:rPr>
          <w:noProof/>
          <w:sz w:val="24"/>
          <w:szCs w:val="24"/>
        </w:rPr>
        <w:t xml:space="preserve">. </w:t>
      </w:r>
      <w:r w:rsidRPr="00B05623">
        <w:rPr>
          <w:sz w:val="24"/>
          <w:szCs w:val="24"/>
        </w:rPr>
        <w:t>To simulate blurring effects of the source, w</w:t>
      </w:r>
      <w:r w:rsidRPr="00B05623">
        <w:rPr>
          <w:noProof/>
          <w:sz w:val="24"/>
          <w:szCs w:val="24"/>
        </w:rPr>
        <w:t xml:space="preserve">e convolve a Ricker wavelet having 20 Hz central frequency </w:t>
      </w:r>
      <w:r w:rsidRPr="00B05623">
        <w:rPr>
          <w:sz w:val="24"/>
          <w:szCs w:val="24"/>
        </w:rPr>
        <w:t>with the reflectivity</w:t>
      </w:r>
      <w:r w:rsidRPr="00B05623">
        <w:rPr>
          <w:noProof/>
          <w:sz w:val="24"/>
          <w:szCs w:val="24"/>
        </w:rPr>
        <w:t>.</w:t>
      </w:r>
    </w:p>
    <w:p w:rsidR="00F85FCC" w:rsidRPr="00B05623" w:rsidRDefault="00B05623" w:rsidP="00B05623">
      <w:pPr>
        <w:pStyle w:val="Normal11ptjustified"/>
        <w:jc w:val="right"/>
        <w:rPr>
          <w:sz w:val="24"/>
          <w:szCs w:val="24"/>
        </w:rPr>
      </w:pPr>
      <w:r>
        <w:rPr>
          <w:sz w:val="24"/>
          <w:szCs w:val="24"/>
        </w:rPr>
        <w:t>Table</w:t>
      </w:r>
    </w:p>
    <w:p w:rsidR="00F85FCC" w:rsidRPr="00B05623" w:rsidRDefault="00F85FCC" w:rsidP="00F85FCC">
      <w:pPr>
        <w:pStyle w:val="Normal11ptjustified"/>
        <w:jc w:val="center"/>
        <w:rPr>
          <w:sz w:val="24"/>
          <w:szCs w:val="24"/>
        </w:rPr>
      </w:pPr>
      <w:r w:rsidRPr="00B05623">
        <w:rPr>
          <w:sz w:val="24"/>
          <w:szCs w:val="24"/>
        </w:rPr>
        <w:t>Parameters of th</w:t>
      </w:r>
      <w:r w:rsidR="00B05623">
        <w:rPr>
          <w:sz w:val="24"/>
          <w:szCs w:val="24"/>
        </w:rPr>
        <w:t>e used synthetic geologic model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3"/>
        <w:gridCol w:w="984"/>
        <w:gridCol w:w="1161"/>
        <w:gridCol w:w="1337"/>
        <w:gridCol w:w="1337"/>
        <w:gridCol w:w="1249"/>
        <w:gridCol w:w="1205"/>
      </w:tblGrid>
      <w:tr w:rsidR="00F85FCC" w:rsidRPr="00B05623" w:rsidTr="00F67A90">
        <w:tc>
          <w:tcPr>
            <w:tcW w:w="1908" w:type="dxa"/>
            <w:vAlign w:val="center"/>
          </w:tcPr>
          <w:p w:rsidR="00F85FCC" w:rsidRPr="00B05623" w:rsidRDefault="00F85FCC" w:rsidP="00F67A90">
            <w:pPr>
              <w:pStyle w:val="Normal11ptjustified"/>
              <w:jc w:val="center"/>
              <w:rPr>
                <w:bCs/>
                <w:sz w:val="24"/>
                <w:szCs w:val="24"/>
              </w:rPr>
            </w:pPr>
            <w:r w:rsidRPr="00B05623">
              <w:rPr>
                <w:bCs/>
                <w:sz w:val="24"/>
                <w:szCs w:val="24"/>
              </w:rPr>
              <w:t>Layers</w:t>
            </w:r>
          </w:p>
        </w:tc>
        <w:tc>
          <w:tcPr>
            <w:tcW w:w="990" w:type="dxa"/>
            <w:vAlign w:val="center"/>
          </w:tcPr>
          <w:p w:rsidR="00F85FCC" w:rsidRPr="00B05623" w:rsidRDefault="00F85FCC" w:rsidP="00F67A90">
            <w:pPr>
              <w:pStyle w:val="Normal11ptjustified"/>
              <w:jc w:val="center"/>
              <w:rPr>
                <w:bCs/>
                <w:sz w:val="24"/>
                <w:szCs w:val="24"/>
              </w:rPr>
            </w:pPr>
            <w:r w:rsidRPr="00B05623">
              <w:rPr>
                <w:bCs/>
                <w:sz w:val="24"/>
                <w:szCs w:val="24"/>
              </w:rPr>
              <w:t>1</w:t>
            </w:r>
          </w:p>
        </w:tc>
        <w:tc>
          <w:tcPr>
            <w:tcW w:w="1170" w:type="dxa"/>
            <w:vAlign w:val="center"/>
          </w:tcPr>
          <w:p w:rsidR="00F85FCC" w:rsidRPr="00B05623" w:rsidRDefault="00F85FCC" w:rsidP="00F67A90">
            <w:pPr>
              <w:pStyle w:val="Normal11ptjustified"/>
              <w:jc w:val="center"/>
              <w:rPr>
                <w:bCs/>
                <w:sz w:val="24"/>
                <w:szCs w:val="24"/>
              </w:rPr>
            </w:pPr>
            <w:r w:rsidRPr="00B05623">
              <w:rPr>
                <w:bCs/>
                <w:sz w:val="24"/>
                <w:szCs w:val="24"/>
              </w:rPr>
              <w:t>2</w:t>
            </w:r>
          </w:p>
        </w:tc>
        <w:tc>
          <w:tcPr>
            <w:tcW w:w="1350" w:type="dxa"/>
            <w:vAlign w:val="center"/>
          </w:tcPr>
          <w:p w:rsidR="00F85FCC" w:rsidRPr="00B05623" w:rsidRDefault="00F85FCC" w:rsidP="00F67A90">
            <w:pPr>
              <w:pStyle w:val="Normal11ptjustified"/>
              <w:jc w:val="center"/>
              <w:rPr>
                <w:bCs/>
                <w:sz w:val="24"/>
                <w:szCs w:val="24"/>
              </w:rPr>
            </w:pPr>
            <w:r w:rsidRPr="00B05623">
              <w:rPr>
                <w:bCs/>
                <w:sz w:val="24"/>
                <w:szCs w:val="24"/>
              </w:rPr>
              <w:t>3</w:t>
            </w:r>
          </w:p>
        </w:tc>
        <w:tc>
          <w:tcPr>
            <w:tcW w:w="1350" w:type="dxa"/>
            <w:vAlign w:val="center"/>
          </w:tcPr>
          <w:p w:rsidR="00F85FCC" w:rsidRPr="00B05623" w:rsidRDefault="00F85FCC" w:rsidP="00F67A90">
            <w:pPr>
              <w:pStyle w:val="Normal11ptjustified"/>
              <w:jc w:val="center"/>
              <w:rPr>
                <w:bCs/>
                <w:sz w:val="24"/>
                <w:szCs w:val="24"/>
              </w:rPr>
            </w:pPr>
            <w:r w:rsidRPr="00B05623">
              <w:rPr>
                <w:bCs/>
                <w:sz w:val="24"/>
                <w:szCs w:val="24"/>
              </w:rPr>
              <w:t>4</w:t>
            </w:r>
          </w:p>
        </w:tc>
        <w:tc>
          <w:tcPr>
            <w:tcW w:w="1260" w:type="dxa"/>
            <w:vAlign w:val="center"/>
          </w:tcPr>
          <w:p w:rsidR="00F85FCC" w:rsidRPr="00B05623" w:rsidRDefault="00F85FCC" w:rsidP="00F67A90">
            <w:pPr>
              <w:pStyle w:val="Normal11ptjustified"/>
              <w:jc w:val="center"/>
              <w:rPr>
                <w:bCs/>
                <w:sz w:val="24"/>
                <w:szCs w:val="24"/>
              </w:rPr>
            </w:pPr>
            <w:r w:rsidRPr="00B05623">
              <w:rPr>
                <w:bCs/>
                <w:sz w:val="24"/>
                <w:szCs w:val="24"/>
              </w:rPr>
              <w:t>5</w:t>
            </w:r>
          </w:p>
        </w:tc>
        <w:tc>
          <w:tcPr>
            <w:tcW w:w="1215" w:type="dxa"/>
            <w:vAlign w:val="center"/>
          </w:tcPr>
          <w:p w:rsidR="00F85FCC" w:rsidRPr="00B05623" w:rsidRDefault="00F85FCC" w:rsidP="00F67A90">
            <w:pPr>
              <w:pStyle w:val="Normal11ptjustified"/>
              <w:jc w:val="center"/>
              <w:rPr>
                <w:bCs/>
                <w:sz w:val="24"/>
                <w:szCs w:val="24"/>
              </w:rPr>
            </w:pPr>
            <w:r w:rsidRPr="00B05623">
              <w:rPr>
                <w:bCs/>
                <w:sz w:val="24"/>
                <w:szCs w:val="24"/>
              </w:rPr>
              <w:t>6</w:t>
            </w:r>
          </w:p>
        </w:tc>
      </w:tr>
      <w:tr w:rsidR="00F85FCC" w:rsidRPr="00B05623" w:rsidTr="00F67A90">
        <w:tc>
          <w:tcPr>
            <w:tcW w:w="1908" w:type="dxa"/>
            <w:vAlign w:val="center"/>
          </w:tcPr>
          <w:p w:rsidR="00F85FCC" w:rsidRPr="00B05623" w:rsidRDefault="00F85FCC" w:rsidP="00F67A90">
            <w:pPr>
              <w:pStyle w:val="Normal11ptjustified"/>
              <w:jc w:val="center"/>
              <w:rPr>
                <w:bCs/>
                <w:sz w:val="24"/>
                <w:szCs w:val="24"/>
              </w:rPr>
            </w:pPr>
            <w:r w:rsidRPr="00B05623">
              <w:rPr>
                <w:bCs/>
                <w:sz w:val="24"/>
                <w:szCs w:val="24"/>
              </w:rPr>
              <w:lastRenderedPageBreak/>
              <w:t>Velocity (m.s</w:t>
            </w:r>
            <w:r w:rsidRPr="00B05623">
              <w:rPr>
                <w:bCs/>
                <w:sz w:val="24"/>
                <w:szCs w:val="24"/>
                <w:vertAlign w:val="superscript"/>
              </w:rPr>
              <w:t>-1</w:t>
            </w:r>
            <w:r w:rsidRPr="00B05623">
              <w:rPr>
                <w:bCs/>
                <w:sz w:val="24"/>
                <w:szCs w:val="24"/>
              </w:rPr>
              <w:t>)</w:t>
            </w:r>
          </w:p>
        </w:tc>
        <w:tc>
          <w:tcPr>
            <w:tcW w:w="990" w:type="dxa"/>
            <w:vAlign w:val="center"/>
          </w:tcPr>
          <w:p w:rsidR="00F85FCC" w:rsidRPr="00B05623" w:rsidRDefault="00F85FCC" w:rsidP="00F67A90">
            <w:pPr>
              <w:pStyle w:val="Normal11ptjustified"/>
              <w:jc w:val="center"/>
              <w:rPr>
                <w:sz w:val="24"/>
                <w:szCs w:val="24"/>
              </w:rPr>
            </w:pPr>
            <w:r w:rsidRPr="00B05623">
              <w:rPr>
                <w:sz w:val="24"/>
                <w:szCs w:val="24"/>
              </w:rPr>
              <w:t>900</w:t>
            </w:r>
          </w:p>
        </w:tc>
        <w:tc>
          <w:tcPr>
            <w:tcW w:w="1170" w:type="dxa"/>
            <w:vAlign w:val="center"/>
          </w:tcPr>
          <w:p w:rsidR="00F85FCC" w:rsidRPr="00B05623" w:rsidRDefault="00F85FCC" w:rsidP="00F67A90">
            <w:pPr>
              <w:pStyle w:val="Normal11ptjustified"/>
              <w:jc w:val="center"/>
              <w:rPr>
                <w:sz w:val="24"/>
                <w:szCs w:val="24"/>
              </w:rPr>
            </w:pPr>
            <w:r w:rsidRPr="00B05623">
              <w:rPr>
                <w:sz w:val="24"/>
                <w:szCs w:val="24"/>
              </w:rPr>
              <w:t>950</w:t>
            </w:r>
          </w:p>
        </w:tc>
        <w:tc>
          <w:tcPr>
            <w:tcW w:w="1350" w:type="dxa"/>
            <w:vAlign w:val="center"/>
          </w:tcPr>
          <w:p w:rsidR="00F85FCC" w:rsidRPr="00B05623" w:rsidRDefault="00F85FCC" w:rsidP="00F67A90">
            <w:pPr>
              <w:pStyle w:val="Normal11ptjustified"/>
              <w:jc w:val="center"/>
              <w:rPr>
                <w:sz w:val="24"/>
                <w:szCs w:val="24"/>
              </w:rPr>
            </w:pPr>
            <w:r w:rsidRPr="00B05623">
              <w:rPr>
                <w:sz w:val="24"/>
                <w:szCs w:val="24"/>
              </w:rPr>
              <w:t>1100</w:t>
            </w:r>
          </w:p>
        </w:tc>
        <w:tc>
          <w:tcPr>
            <w:tcW w:w="1350" w:type="dxa"/>
            <w:vAlign w:val="center"/>
          </w:tcPr>
          <w:p w:rsidR="00F85FCC" w:rsidRPr="00B05623" w:rsidRDefault="00F85FCC" w:rsidP="00F67A90">
            <w:pPr>
              <w:pStyle w:val="Normal11ptjustified"/>
              <w:jc w:val="center"/>
              <w:rPr>
                <w:sz w:val="24"/>
                <w:szCs w:val="24"/>
              </w:rPr>
            </w:pPr>
            <w:r w:rsidRPr="00B05623">
              <w:rPr>
                <w:sz w:val="24"/>
                <w:szCs w:val="24"/>
              </w:rPr>
              <w:t>1050</w:t>
            </w:r>
          </w:p>
        </w:tc>
        <w:tc>
          <w:tcPr>
            <w:tcW w:w="1260" w:type="dxa"/>
            <w:vAlign w:val="center"/>
          </w:tcPr>
          <w:p w:rsidR="00F85FCC" w:rsidRPr="00B05623" w:rsidRDefault="00F85FCC" w:rsidP="00F67A90">
            <w:pPr>
              <w:pStyle w:val="Normal11ptjustified"/>
              <w:jc w:val="center"/>
              <w:rPr>
                <w:sz w:val="24"/>
                <w:szCs w:val="24"/>
              </w:rPr>
            </w:pPr>
            <w:r w:rsidRPr="00B05623">
              <w:rPr>
                <w:sz w:val="24"/>
                <w:szCs w:val="24"/>
              </w:rPr>
              <w:t>1200</w:t>
            </w:r>
          </w:p>
        </w:tc>
        <w:tc>
          <w:tcPr>
            <w:tcW w:w="1215" w:type="dxa"/>
            <w:vAlign w:val="center"/>
          </w:tcPr>
          <w:p w:rsidR="00F85FCC" w:rsidRPr="00B05623" w:rsidRDefault="00F85FCC" w:rsidP="00F67A90">
            <w:pPr>
              <w:pStyle w:val="Normal11ptjustified"/>
              <w:jc w:val="center"/>
              <w:rPr>
                <w:sz w:val="24"/>
                <w:szCs w:val="24"/>
              </w:rPr>
            </w:pPr>
            <w:r w:rsidRPr="00B05623">
              <w:rPr>
                <w:sz w:val="24"/>
                <w:szCs w:val="24"/>
              </w:rPr>
              <w:t>1100</w:t>
            </w:r>
          </w:p>
        </w:tc>
      </w:tr>
      <w:tr w:rsidR="00F85FCC" w:rsidRPr="00B05623" w:rsidTr="00F67A90">
        <w:tc>
          <w:tcPr>
            <w:tcW w:w="1908" w:type="dxa"/>
            <w:vAlign w:val="center"/>
          </w:tcPr>
          <w:p w:rsidR="00F85FCC" w:rsidRPr="00B05623" w:rsidRDefault="00F85FCC" w:rsidP="00F67A90">
            <w:pPr>
              <w:pStyle w:val="Normal11ptjustified"/>
              <w:jc w:val="center"/>
              <w:rPr>
                <w:bCs/>
                <w:sz w:val="24"/>
                <w:szCs w:val="24"/>
              </w:rPr>
            </w:pPr>
            <w:r w:rsidRPr="00B05623">
              <w:rPr>
                <w:bCs/>
                <w:sz w:val="24"/>
                <w:szCs w:val="24"/>
              </w:rPr>
              <w:t>Density (kg.m</w:t>
            </w:r>
            <w:r w:rsidRPr="00B05623">
              <w:rPr>
                <w:bCs/>
                <w:sz w:val="24"/>
                <w:szCs w:val="24"/>
                <w:vertAlign w:val="superscript"/>
              </w:rPr>
              <w:t>-3</w:t>
            </w:r>
            <w:r w:rsidRPr="00B05623">
              <w:rPr>
                <w:bCs/>
                <w:sz w:val="24"/>
                <w:szCs w:val="24"/>
              </w:rPr>
              <w:t>)</w:t>
            </w:r>
          </w:p>
        </w:tc>
        <w:tc>
          <w:tcPr>
            <w:tcW w:w="990" w:type="dxa"/>
            <w:vAlign w:val="center"/>
          </w:tcPr>
          <w:p w:rsidR="00F85FCC" w:rsidRPr="00B05623" w:rsidRDefault="00F85FCC" w:rsidP="00F67A90">
            <w:pPr>
              <w:pStyle w:val="Normal11ptjustified"/>
              <w:jc w:val="center"/>
              <w:rPr>
                <w:sz w:val="24"/>
                <w:szCs w:val="24"/>
              </w:rPr>
            </w:pPr>
            <w:r w:rsidRPr="00B05623">
              <w:rPr>
                <w:sz w:val="24"/>
                <w:szCs w:val="24"/>
              </w:rPr>
              <w:t>2000</w:t>
            </w:r>
          </w:p>
        </w:tc>
        <w:tc>
          <w:tcPr>
            <w:tcW w:w="1170" w:type="dxa"/>
            <w:vAlign w:val="center"/>
          </w:tcPr>
          <w:p w:rsidR="00F85FCC" w:rsidRPr="00B05623" w:rsidRDefault="00F85FCC" w:rsidP="00F67A90">
            <w:pPr>
              <w:pStyle w:val="Normal11ptjustified"/>
              <w:jc w:val="center"/>
              <w:rPr>
                <w:sz w:val="24"/>
                <w:szCs w:val="24"/>
              </w:rPr>
            </w:pPr>
            <w:r w:rsidRPr="00B05623">
              <w:rPr>
                <w:sz w:val="24"/>
                <w:szCs w:val="24"/>
              </w:rPr>
              <w:t>2150</w:t>
            </w:r>
          </w:p>
        </w:tc>
        <w:tc>
          <w:tcPr>
            <w:tcW w:w="1350" w:type="dxa"/>
            <w:vAlign w:val="center"/>
          </w:tcPr>
          <w:p w:rsidR="00F85FCC" w:rsidRPr="00B05623" w:rsidRDefault="00F85FCC" w:rsidP="00F67A90">
            <w:pPr>
              <w:pStyle w:val="Normal11ptjustified"/>
              <w:jc w:val="center"/>
              <w:rPr>
                <w:sz w:val="24"/>
                <w:szCs w:val="24"/>
              </w:rPr>
            </w:pPr>
            <w:r w:rsidRPr="00B05623">
              <w:rPr>
                <w:sz w:val="24"/>
                <w:szCs w:val="24"/>
              </w:rPr>
              <w:t>2250</w:t>
            </w:r>
          </w:p>
        </w:tc>
        <w:tc>
          <w:tcPr>
            <w:tcW w:w="1350" w:type="dxa"/>
            <w:vAlign w:val="center"/>
          </w:tcPr>
          <w:p w:rsidR="00F85FCC" w:rsidRPr="00B05623" w:rsidRDefault="00F85FCC" w:rsidP="00F67A90">
            <w:pPr>
              <w:pStyle w:val="Normal11ptjustified"/>
              <w:jc w:val="center"/>
              <w:rPr>
                <w:sz w:val="24"/>
                <w:szCs w:val="24"/>
              </w:rPr>
            </w:pPr>
            <w:r w:rsidRPr="00B05623">
              <w:rPr>
                <w:sz w:val="24"/>
                <w:szCs w:val="24"/>
              </w:rPr>
              <w:t>2400</w:t>
            </w:r>
          </w:p>
        </w:tc>
        <w:tc>
          <w:tcPr>
            <w:tcW w:w="1260" w:type="dxa"/>
            <w:vAlign w:val="center"/>
          </w:tcPr>
          <w:p w:rsidR="00F85FCC" w:rsidRPr="00B05623" w:rsidRDefault="00F85FCC" w:rsidP="00F67A90">
            <w:pPr>
              <w:pStyle w:val="Normal11ptjustified"/>
              <w:jc w:val="center"/>
              <w:rPr>
                <w:sz w:val="24"/>
                <w:szCs w:val="24"/>
              </w:rPr>
            </w:pPr>
            <w:r w:rsidRPr="00B05623">
              <w:rPr>
                <w:sz w:val="24"/>
                <w:szCs w:val="24"/>
              </w:rPr>
              <w:t>2300</w:t>
            </w:r>
          </w:p>
        </w:tc>
        <w:tc>
          <w:tcPr>
            <w:tcW w:w="1215" w:type="dxa"/>
            <w:vAlign w:val="center"/>
          </w:tcPr>
          <w:p w:rsidR="00F85FCC" w:rsidRPr="00B05623" w:rsidRDefault="00F85FCC" w:rsidP="00F67A90">
            <w:pPr>
              <w:pStyle w:val="Normal11ptjustified"/>
              <w:jc w:val="center"/>
              <w:rPr>
                <w:sz w:val="24"/>
                <w:szCs w:val="24"/>
              </w:rPr>
            </w:pPr>
            <w:r w:rsidRPr="00B05623">
              <w:rPr>
                <w:sz w:val="24"/>
                <w:szCs w:val="24"/>
              </w:rPr>
              <w:t>2500</w:t>
            </w:r>
          </w:p>
        </w:tc>
      </w:tr>
      <w:tr w:rsidR="00F85FCC" w:rsidRPr="00B05623" w:rsidTr="00F67A90">
        <w:tc>
          <w:tcPr>
            <w:tcW w:w="1908" w:type="dxa"/>
            <w:vAlign w:val="center"/>
          </w:tcPr>
          <w:p w:rsidR="00F85FCC" w:rsidRPr="00B05623" w:rsidRDefault="00F85FCC" w:rsidP="00F67A90">
            <w:pPr>
              <w:pStyle w:val="Normal11ptjustified"/>
              <w:jc w:val="center"/>
              <w:rPr>
                <w:bCs/>
                <w:sz w:val="24"/>
                <w:szCs w:val="24"/>
              </w:rPr>
            </w:pPr>
            <w:r w:rsidRPr="00B05623">
              <w:rPr>
                <w:bCs/>
                <w:sz w:val="24"/>
                <w:szCs w:val="24"/>
              </w:rPr>
              <w:t>Thickness (m)</w:t>
            </w:r>
          </w:p>
        </w:tc>
        <w:tc>
          <w:tcPr>
            <w:tcW w:w="990" w:type="dxa"/>
            <w:vAlign w:val="center"/>
          </w:tcPr>
          <w:p w:rsidR="00F85FCC" w:rsidRPr="00B05623" w:rsidRDefault="00F85FCC" w:rsidP="00F67A90">
            <w:pPr>
              <w:pStyle w:val="Normal11ptjustified"/>
              <w:jc w:val="center"/>
              <w:rPr>
                <w:sz w:val="24"/>
                <w:szCs w:val="24"/>
              </w:rPr>
            </w:pPr>
            <w:r w:rsidRPr="00B05623">
              <w:rPr>
                <w:sz w:val="24"/>
                <w:szCs w:val="24"/>
              </w:rPr>
              <w:t>200</w:t>
            </w:r>
          </w:p>
        </w:tc>
        <w:tc>
          <w:tcPr>
            <w:tcW w:w="1170" w:type="dxa"/>
            <w:vAlign w:val="center"/>
          </w:tcPr>
          <w:p w:rsidR="00F85FCC" w:rsidRPr="00B05623" w:rsidRDefault="00F85FCC" w:rsidP="00F67A90">
            <w:pPr>
              <w:pStyle w:val="Normal11ptjustified"/>
              <w:jc w:val="center"/>
              <w:rPr>
                <w:sz w:val="24"/>
                <w:szCs w:val="24"/>
              </w:rPr>
            </w:pPr>
            <w:r w:rsidRPr="00B05623">
              <w:rPr>
                <w:sz w:val="24"/>
                <w:szCs w:val="24"/>
              </w:rPr>
              <w:t>50</w:t>
            </w:r>
          </w:p>
        </w:tc>
        <w:tc>
          <w:tcPr>
            <w:tcW w:w="1350" w:type="dxa"/>
            <w:vAlign w:val="center"/>
          </w:tcPr>
          <w:p w:rsidR="00F85FCC" w:rsidRPr="00B05623" w:rsidRDefault="00F85FCC" w:rsidP="00F67A90">
            <w:pPr>
              <w:pStyle w:val="Normal11ptjustified"/>
              <w:jc w:val="center"/>
              <w:rPr>
                <w:sz w:val="24"/>
                <w:szCs w:val="24"/>
              </w:rPr>
            </w:pPr>
            <w:r w:rsidRPr="00B05623">
              <w:rPr>
                <w:sz w:val="24"/>
                <w:szCs w:val="24"/>
              </w:rPr>
              <w:t>200</w:t>
            </w:r>
          </w:p>
        </w:tc>
        <w:tc>
          <w:tcPr>
            <w:tcW w:w="1350" w:type="dxa"/>
            <w:vAlign w:val="center"/>
          </w:tcPr>
          <w:p w:rsidR="00F85FCC" w:rsidRPr="00B05623" w:rsidRDefault="00F85FCC" w:rsidP="00F67A90">
            <w:pPr>
              <w:pStyle w:val="Normal11ptjustified"/>
              <w:jc w:val="center"/>
              <w:rPr>
                <w:sz w:val="24"/>
                <w:szCs w:val="24"/>
              </w:rPr>
            </w:pPr>
            <w:r w:rsidRPr="00B05623">
              <w:rPr>
                <w:sz w:val="24"/>
                <w:szCs w:val="24"/>
              </w:rPr>
              <w:t>50</w:t>
            </w:r>
          </w:p>
        </w:tc>
        <w:tc>
          <w:tcPr>
            <w:tcW w:w="1260" w:type="dxa"/>
            <w:vAlign w:val="center"/>
          </w:tcPr>
          <w:p w:rsidR="00F85FCC" w:rsidRPr="00B05623" w:rsidRDefault="00F85FCC" w:rsidP="00F67A90">
            <w:pPr>
              <w:pStyle w:val="Normal11ptjustified"/>
              <w:jc w:val="center"/>
              <w:rPr>
                <w:sz w:val="24"/>
                <w:szCs w:val="24"/>
              </w:rPr>
            </w:pPr>
            <w:r w:rsidRPr="00B05623">
              <w:rPr>
                <w:sz w:val="24"/>
                <w:szCs w:val="24"/>
              </w:rPr>
              <w:t>100</w:t>
            </w:r>
          </w:p>
        </w:tc>
        <w:tc>
          <w:tcPr>
            <w:tcW w:w="1215" w:type="dxa"/>
            <w:vAlign w:val="center"/>
          </w:tcPr>
          <w:p w:rsidR="00F85FCC" w:rsidRPr="00B05623" w:rsidRDefault="00F85FCC" w:rsidP="00F67A90">
            <w:pPr>
              <w:pStyle w:val="Normal11ptjustified"/>
              <w:jc w:val="center"/>
              <w:rPr>
                <w:sz w:val="24"/>
                <w:szCs w:val="24"/>
              </w:rPr>
            </w:pPr>
            <w:r w:rsidRPr="00B05623">
              <w:rPr>
                <w:sz w:val="24"/>
                <w:szCs w:val="24"/>
              </w:rPr>
              <w:t>270</w:t>
            </w:r>
          </w:p>
        </w:tc>
      </w:tr>
    </w:tbl>
    <w:p w:rsidR="00F85FCC" w:rsidRPr="00B05623" w:rsidRDefault="00F85FCC" w:rsidP="00F85FCC">
      <w:pPr>
        <w:pStyle w:val="Normal11ptjustified"/>
        <w:ind w:firstLine="567"/>
        <w:rPr>
          <w:sz w:val="24"/>
          <w:szCs w:val="24"/>
        </w:rPr>
      </w:pPr>
    </w:p>
    <w:p w:rsidR="00802ED2" w:rsidRDefault="00F85FCC" w:rsidP="00F85FCC">
      <w:pPr>
        <w:pStyle w:val="Normal11ptjustified"/>
        <w:ind w:firstLine="567"/>
        <w:rPr>
          <w:sz w:val="24"/>
          <w:szCs w:val="24"/>
        </w:rPr>
      </w:pPr>
      <w:r w:rsidRPr="00B05623">
        <w:rPr>
          <w:noProof/>
          <w:sz w:val="24"/>
          <w:szCs w:val="24"/>
          <w:lang w:val="ru-RU" w:eastAsia="ru-RU"/>
        </w:rPr>
        <w:drawing>
          <wp:inline distT="0" distB="0" distL="0" distR="0">
            <wp:extent cx="4657090" cy="1732915"/>
            <wp:effectExtent l="0" t="0" r="0" b="63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7090" cy="1732915"/>
                    </a:xfrm>
                    <a:prstGeom prst="rect">
                      <a:avLst/>
                    </a:prstGeom>
                    <a:noFill/>
                  </pic:spPr>
                </pic:pic>
              </a:graphicData>
            </a:graphic>
          </wp:inline>
        </w:drawing>
      </w:r>
    </w:p>
    <w:p w:rsidR="00802ED2" w:rsidRPr="00B05623" w:rsidRDefault="00EB7219" w:rsidP="00802ED2">
      <w:pPr>
        <w:pStyle w:val="Normal11ptjustified"/>
        <w:rPr>
          <w:sz w:val="24"/>
          <w:szCs w:val="24"/>
        </w:rPr>
      </w:pPr>
      <w:r>
        <w:rPr>
          <w:b/>
          <w:bCs/>
          <w:iCs/>
          <w:sz w:val="24"/>
          <w:szCs w:val="24"/>
        </w:rPr>
        <w:t>Fig</w:t>
      </w:r>
      <w:r w:rsidR="00802ED2" w:rsidRPr="00B05623">
        <w:rPr>
          <w:b/>
          <w:bCs/>
          <w:iCs/>
          <w:sz w:val="24"/>
          <w:szCs w:val="24"/>
        </w:rPr>
        <w:t xml:space="preserve">. </w:t>
      </w:r>
      <w:r w:rsidR="00802ED2" w:rsidRPr="00B05623">
        <w:rPr>
          <w:iCs/>
          <w:sz w:val="24"/>
          <w:szCs w:val="24"/>
        </w:rPr>
        <w:t>A synthetic trace (a) and recovered reflectivity series by Wiener deconvolution (b), l</w:t>
      </w:r>
      <w:r w:rsidR="00802ED2" w:rsidRPr="00B05623">
        <w:rPr>
          <w:iCs/>
          <w:sz w:val="24"/>
          <w:szCs w:val="24"/>
          <w:vertAlign w:val="subscript"/>
        </w:rPr>
        <w:t>1</w:t>
      </w:r>
      <w:r w:rsidR="00802ED2" w:rsidRPr="00B05623">
        <w:rPr>
          <w:iCs/>
          <w:sz w:val="24"/>
          <w:szCs w:val="24"/>
        </w:rPr>
        <w:t xml:space="preserve"> deconvolution (c) and the proposed deconvolution (d). Red circles show the true </w:t>
      </w:r>
      <w:proofErr w:type="spellStart"/>
      <w:r w:rsidR="00802ED2" w:rsidRPr="00B05623">
        <w:rPr>
          <w:iCs/>
          <w:sz w:val="24"/>
          <w:szCs w:val="24"/>
        </w:rPr>
        <w:t>reflectivities</w:t>
      </w:r>
      <w:proofErr w:type="spellEnd"/>
      <w:r w:rsidR="00802ED2" w:rsidRPr="00B05623">
        <w:rPr>
          <w:iCs/>
          <w:sz w:val="24"/>
          <w:szCs w:val="24"/>
        </w:rPr>
        <w:t>.</w:t>
      </w:r>
    </w:p>
    <w:p w:rsidR="00802ED2" w:rsidRDefault="00802ED2" w:rsidP="00F85FCC">
      <w:pPr>
        <w:pStyle w:val="Normal11ptjustified"/>
        <w:ind w:firstLine="567"/>
        <w:rPr>
          <w:sz w:val="24"/>
          <w:szCs w:val="24"/>
        </w:rPr>
      </w:pPr>
    </w:p>
    <w:p w:rsidR="00802ED2" w:rsidRPr="00B05623" w:rsidRDefault="00F85FCC" w:rsidP="00EB7219">
      <w:pPr>
        <w:pStyle w:val="Normal11ptjustified"/>
        <w:ind w:firstLine="567"/>
        <w:rPr>
          <w:b/>
          <w:sz w:val="24"/>
          <w:szCs w:val="24"/>
        </w:rPr>
      </w:pPr>
      <w:r w:rsidRPr="00B05623">
        <w:rPr>
          <w:sz w:val="24"/>
          <w:szCs w:val="24"/>
        </w:rPr>
        <w:t xml:space="preserve">The reflectivity series obtained by Wiener deconvolution, </w:t>
      </w:r>
      <w:r w:rsidRPr="00B05623">
        <w:rPr>
          <w:i/>
          <w:iCs/>
          <w:sz w:val="24"/>
          <w:szCs w:val="24"/>
        </w:rPr>
        <w:t>l1</w:t>
      </w:r>
      <w:r w:rsidRPr="00B05623">
        <w:rPr>
          <w:sz w:val="24"/>
          <w:szCs w:val="24"/>
        </w:rPr>
        <w:t xml:space="preserve">-norm deconvolution and the proposed deconvolution are depicted </w:t>
      </w:r>
      <w:r w:rsidR="00802ED2">
        <w:rPr>
          <w:sz w:val="24"/>
          <w:szCs w:val="24"/>
        </w:rPr>
        <w:t>(</w:t>
      </w:r>
      <w:proofErr w:type="gramStart"/>
      <w:r w:rsidR="00802ED2">
        <w:rPr>
          <w:sz w:val="24"/>
          <w:szCs w:val="24"/>
        </w:rPr>
        <w:t xml:space="preserve">Figure </w:t>
      </w:r>
      <w:r w:rsidRPr="00B05623">
        <w:rPr>
          <w:sz w:val="24"/>
          <w:szCs w:val="24"/>
        </w:rPr>
        <w:t xml:space="preserve"> (</w:t>
      </w:r>
      <w:proofErr w:type="gramEnd"/>
      <w:r w:rsidRPr="00B05623">
        <w:rPr>
          <w:sz w:val="24"/>
          <w:szCs w:val="24"/>
        </w:rPr>
        <w:t>b)-(d)</w:t>
      </w:r>
      <w:r w:rsidR="00802ED2">
        <w:rPr>
          <w:sz w:val="24"/>
          <w:szCs w:val="24"/>
        </w:rPr>
        <w:t>)</w:t>
      </w:r>
      <w:r w:rsidRPr="00B05623">
        <w:rPr>
          <w:sz w:val="24"/>
          <w:szCs w:val="24"/>
        </w:rPr>
        <w:t xml:space="preserve">, respectively. </w:t>
      </w:r>
    </w:p>
    <w:p w:rsidR="00F85FCC" w:rsidRPr="00B05623" w:rsidRDefault="00F85FCC" w:rsidP="00F85FCC">
      <w:pPr>
        <w:pStyle w:val="SectionHeading"/>
        <w:spacing w:before="0" w:after="0"/>
        <w:jc w:val="both"/>
        <w:rPr>
          <w:b w:val="0"/>
          <w:bCs w:val="0"/>
          <w:sz w:val="24"/>
          <w:szCs w:val="24"/>
        </w:rPr>
      </w:pPr>
      <w:r w:rsidRPr="00B05623">
        <w:rPr>
          <w:b w:val="0"/>
          <w:bCs w:val="0"/>
          <w:sz w:val="24"/>
          <w:szCs w:val="24"/>
        </w:rPr>
        <w:tab/>
        <w:t xml:space="preserve">In this </w:t>
      </w:r>
      <w:r w:rsidR="00EB7219" w:rsidRPr="00B05623">
        <w:rPr>
          <w:b w:val="0"/>
          <w:bCs w:val="0"/>
          <w:sz w:val="24"/>
          <w:szCs w:val="24"/>
        </w:rPr>
        <w:t>paper,</w:t>
      </w:r>
      <w:r w:rsidRPr="00B05623">
        <w:rPr>
          <w:b w:val="0"/>
          <w:bCs w:val="0"/>
          <w:sz w:val="24"/>
          <w:szCs w:val="24"/>
        </w:rPr>
        <w:t xml:space="preserve"> we employed a generalized non-Convex regularization term in deconvolution step of acoustic impedance inversion. We showed that our proposed method outperformed the classical methods.</w:t>
      </w:r>
    </w:p>
    <w:p w:rsidR="00EB7219" w:rsidRDefault="00EB7219" w:rsidP="00983CCB">
      <w:pPr>
        <w:spacing w:after="0" w:line="240" w:lineRule="auto"/>
        <w:ind w:firstLine="720"/>
        <w:jc w:val="center"/>
        <w:rPr>
          <w:rFonts w:ascii="Times New Roman" w:eastAsia="SimSun" w:hAnsi="Times New Roman"/>
          <w:b/>
          <w:i/>
          <w:sz w:val="24"/>
          <w:szCs w:val="24"/>
          <w:lang w:val="az-Latn-AZ" w:eastAsia="ja-JP"/>
        </w:rPr>
      </w:pPr>
    </w:p>
    <w:p w:rsidR="00983CCB" w:rsidRPr="00983CCB" w:rsidRDefault="00983CCB" w:rsidP="00983CCB">
      <w:pPr>
        <w:spacing w:after="0" w:line="240" w:lineRule="auto"/>
        <w:ind w:firstLine="720"/>
        <w:jc w:val="center"/>
        <w:rPr>
          <w:rFonts w:ascii="Times New Roman" w:eastAsia="SimSun" w:hAnsi="Times New Roman"/>
          <w:i/>
          <w:sz w:val="24"/>
          <w:szCs w:val="24"/>
          <w:lang w:val="az-Latn-AZ" w:eastAsia="ja-JP"/>
        </w:rPr>
      </w:pPr>
      <w:proofErr w:type="spellStart"/>
      <w:r w:rsidRPr="00983CCB">
        <w:rPr>
          <w:rFonts w:ascii="Times New Roman" w:eastAsia="SimSun" w:hAnsi="Times New Roman"/>
          <w:b/>
          <w:i/>
          <w:sz w:val="24"/>
          <w:szCs w:val="24"/>
          <w:lang w:val="az-Latn-AZ" w:eastAsia="ja-JP"/>
        </w:rPr>
        <w:t>References</w:t>
      </w:r>
      <w:proofErr w:type="spellEnd"/>
      <w:r w:rsidRPr="00983CCB">
        <w:rPr>
          <w:rFonts w:ascii="Times New Roman" w:eastAsia="SimSun" w:hAnsi="Times New Roman"/>
          <w:b/>
          <w:i/>
          <w:sz w:val="24"/>
          <w:szCs w:val="24"/>
          <w:lang w:val="az-Latn-AZ" w:eastAsia="ja-JP"/>
        </w:rPr>
        <w:t xml:space="preserve"> </w:t>
      </w:r>
      <w:r>
        <w:rPr>
          <w:rFonts w:ascii="Times New Roman" w:eastAsia="SimSun" w:hAnsi="Times New Roman"/>
          <w:b/>
          <w:i/>
          <w:sz w:val="24"/>
          <w:szCs w:val="24"/>
          <w:lang w:val="az-Latn-AZ" w:eastAsia="ja-JP"/>
        </w:rPr>
        <w:t>(</w:t>
      </w:r>
      <w:proofErr w:type="spellStart"/>
      <w:r w:rsidRPr="00983CCB">
        <w:rPr>
          <w:rFonts w:ascii="Times New Roman" w:eastAsia="SimSun" w:hAnsi="Times New Roman"/>
          <w:i/>
          <w:sz w:val="24"/>
          <w:szCs w:val="24"/>
          <w:lang w:val="az-Latn-AZ" w:eastAsia="ja-JP"/>
        </w:rPr>
        <w:t>examples</w:t>
      </w:r>
      <w:proofErr w:type="spellEnd"/>
      <w:r>
        <w:rPr>
          <w:rFonts w:ascii="Times New Roman" w:eastAsia="SimSun" w:hAnsi="Times New Roman"/>
          <w:i/>
          <w:sz w:val="24"/>
          <w:szCs w:val="24"/>
          <w:lang w:val="az-Latn-AZ" w:eastAsia="ja-JP"/>
        </w:rPr>
        <w:t>)</w:t>
      </w:r>
    </w:p>
    <w:p w:rsidR="00983CCB" w:rsidRPr="00983CCB" w:rsidRDefault="00983CCB" w:rsidP="00983CCB">
      <w:pPr>
        <w:pStyle w:val="SectionHeading"/>
        <w:spacing w:before="0" w:after="0"/>
        <w:ind w:firstLine="567"/>
        <w:jc w:val="both"/>
        <w:rPr>
          <w:b w:val="0"/>
          <w:bCs w:val="0"/>
          <w:sz w:val="24"/>
          <w:szCs w:val="24"/>
        </w:rPr>
      </w:pPr>
      <w:r w:rsidRPr="00983CCB">
        <w:rPr>
          <w:sz w:val="24"/>
          <w:szCs w:val="24"/>
        </w:rPr>
        <w:t>Books</w:t>
      </w:r>
      <w:r w:rsidRPr="00983CCB">
        <w:rPr>
          <w:b w:val="0"/>
          <w:bCs w:val="0"/>
          <w:sz w:val="24"/>
          <w:szCs w:val="24"/>
        </w:rPr>
        <w:t xml:space="preserve"> </w:t>
      </w:r>
    </w:p>
    <w:p w:rsidR="00983CCB" w:rsidRPr="00EB7219" w:rsidRDefault="00983CCB" w:rsidP="00EB7219">
      <w:pPr>
        <w:pStyle w:val="a8"/>
        <w:widowControl w:val="0"/>
        <w:numPr>
          <w:ilvl w:val="0"/>
          <w:numId w:val="2"/>
        </w:numPr>
        <w:suppressLineNumbers/>
        <w:suppressAutoHyphens/>
        <w:spacing w:after="0" w:line="240" w:lineRule="auto"/>
        <w:jc w:val="both"/>
        <w:rPr>
          <w:rFonts w:ascii="Times New Roman" w:eastAsia="Times New Roman" w:hAnsi="Times New Roman"/>
          <w:sz w:val="24"/>
          <w:szCs w:val="24"/>
          <w:lang w:val="en-GB"/>
        </w:rPr>
      </w:pPr>
      <w:r w:rsidRPr="00EB7219">
        <w:rPr>
          <w:rStyle w:val="hps"/>
          <w:rFonts w:ascii="Times New Roman" w:hAnsi="Times New Roman"/>
          <w:i/>
          <w:sz w:val="24"/>
          <w:szCs w:val="24"/>
          <w:lang w:val="en-US"/>
        </w:rPr>
        <w:t xml:space="preserve">Combes J.M., Grossman A., </w:t>
      </w:r>
      <w:proofErr w:type="spellStart"/>
      <w:r w:rsidRPr="00EB7219">
        <w:rPr>
          <w:rStyle w:val="hps"/>
          <w:rFonts w:ascii="Times New Roman" w:hAnsi="Times New Roman"/>
          <w:i/>
          <w:sz w:val="24"/>
          <w:szCs w:val="24"/>
          <w:lang w:val="en-US"/>
        </w:rPr>
        <w:t>Tchamitchian</w:t>
      </w:r>
      <w:proofErr w:type="spellEnd"/>
      <w:r w:rsidRPr="00EB7219">
        <w:rPr>
          <w:rStyle w:val="hps"/>
          <w:rFonts w:ascii="Times New Roman" w:hAnsi="Times New Roman"/>
          <w:i/>
          <w:sz w:val="24"/>
          <w:szCs w:val="24"/>
          <w:lang w:val="en-US"/>
        </w:rPr>
        <w:t xml:space="preserve"> P. </w:t>
      </w:r>
      <w:r w:rsidRPr="00EB7219">
        <w:rPr>
          <w:rFonts w:ascii="Times New Roman" w:eastAsia="Times New Roman" w:hAnsi="Times New Roman"/>
          <w:sz w:val="24"/>
          <w:szCs w:val="24"/>
          <w:lang w:val="en-GB"/>
        </w:rPr>
        <w:t>Wavelets: time frequency methods, phase space. N. Y.: Springer: B., 1989.</w:t>
      </w:r>
    </w:p>
    <w:p w:rsidR="00983CCB" w:rsidRPr="00EB7219" w:rsidRDefault="00983CCB" w:rsidP="00C631E2">
      <w:pPr>
        <w:widowControl w:val="0"/>
        <w:suppressLineNumbers/>
        <w:suppressAutoHyphens/>
        <w:spacing w:after="0" w:line="240" w:lineRule="auto"/>
        <w:ind w:firstLine="539"/>
        <w:contextualSpacing/>
        <w:jc w:val="both"/>
        <w:rPr>
          <w:rFonts w:ascii="Helvetica" w:hAnsi="Helvetica" w:cs="Helvetica"/>
          <w:color w:val="333333"/>
          <w:sz w:val="21"/>
          <w:szCs w:val="21"/>
          <w:shd w:val="clear" w:color="auto" w:fill="F5F5F5"/>
          <w:lang w:val="en-US"/>
        </w:rPr>
      </w:pPr>
    </w:p>
    <w:p w:rsidR="00983CCB" w:rsidRPr="00983CCB" w:rsidRDefault="00983CCB" w:rsidP="00983CCB">
      <w:pPr>
        <w:pStyle w:val="SectionHeading"/>
        <w:spacing w:before="0" w:after="0"/>
        <w:ind w:firstLine="567"/>
        <w:jc w:val="both"/>
        <w:rPr>
          <w:sz w:val="24"/>
          <w:szCs w:val="24"/>
        </w:rPr>
      </w:pPr>
      <w:r w:rsidRPr="00983CCB">
        <w:rPr>
          <w:bCs w:val="0"/>
          <w:sz w:val="24"/>
          <w:szCs w:val="24"/>
        </w:rPr>
        <w:t>Journal articles</w:t>
      </w:r>
    </w:p>
    <w:p w:rsidR="00983CCB" w:rsidRPr="00EB7219" w:rsidRDefault="00983CCB" w:rsidP="00EB7219">
      <w:pPr>
        <w:pStyle w:val="a8"/>
        <w:widowControl w:val="0"/>
        <w:numPr>
          <w:ilvl w:val="0"/>
          <w:numId w:val="2"/>
        </w:numPr>
        <w:suppressLineNumbers/>
        <w:suppressAutoHyphens/>
        <w:spacing w:after="0" w:line="240" w:lineRule="auto"/>
        <w:jc w:val="both"/>
        <w:rPr>
          <w:rFonts w:ascii="Helvetica" w:hAnsi="Helvetica" w:cs="Helvetica"/>
          <w:color w:val="333333"/>
          <w:sz w:val="21"/>
          <w:szCs w:val="21"/>
          <w:shd w:val="clear" w:color="auto" w:fill="F5F5F5"/>
          <w:lang w:val="en-US"/>
        </w:rPr>
      </w:pPr>
      <w:proofErr w:type="spellStart"/>
      <w:r w:rsidRPr="00EB7219">
        <w:rPr>
          <w:rStyle w:val="hps"/>
          <w:rFonts w:ascii="Times New Roman" w:hAnsi="Times New Roman"/>
          <w:i/>
          <w:iCs/>
          <w:sz w:val="24"/>
          <w:szCs w:val="24"/>
          <w:lang w:val="en-US"/>
        </w:rPr>
        <w:t>Atmanspacher</w:t>
      </w:r>
      <w:proofErr w:type="spellEnd"/>
      <w:r w:rsidR="0045601A" w:rsidRPr="0045601A">
        <w:rPr>
          <w:rStyle w:val="hps"/>
          <w:rFonts w:ascii="Times New Roman" w:hAnsi="Times New Roman"/>
          <w:i/>
          <w:iCs/>
          <w:sz w:val="24"/>
          <w:szCs w:val="24"/>
          <w:lang w:val="en-US"/>
        </w:rPr>
        <w:t xml:space="preserve"> </w:t>
      </w:r>
      <w:r w:rsidR="0045601A" w:rsidRPr="00EB7219">
        <w:rPr>
          <w:rStyle w:val="hps"/>
          <w:rFonts w:ascii="Times New Roman" w:hAnsi="Times New Roman"/>
          <w:i/>
          <w:iCs/>
          <w:sz w:val="24"/>
          <w:szCs w:val="24"/>
          <w:lang w:val="en-US"/>
        </w:rPr>
        <w:t>H.</w:t>
      </w:r>
      <w:r w:rsidRPr="00EB7219">
        <w:rPr>
          <w:rStyle w:val="hps"/>
          <w:rFonts w:ascii="Times New Roman" w:hAnsi="Times New Roman"/>
          <w:i/>
          <w:iCs/>
          <w:sz w:val="24"/>
          <w:szCs w:val="24"/>
          <w:lang w:val="en-US"/>
        </w:rPr>
        <w:t xml:space="preserve">, </w:t>
      </w:r>
      <w:proofErr w:type="spellStart"/>
      <w:r w:rsidRPr="00EB7219">
        <w:rPr>
          <w:rStyle w:val="hps"/>
          <w:rFonts w:ascii="Times New Roman" w:hAnsi="Times New Roman"/>
          <w:i/>
          <w:iCs/>
          <w:sz w:val="24"/>
          <w:szCs w:val="24"/>
          <w:lang w:val="en-US"/>
        </w:rPr>
        <w:t>Scheingraber</w:t>
      </w:r>
      <w:proofErr w:type="spellEnd"/>
      <w:r w:rsidR="0045601A" w:rsidRPr="0045601A">
        <w:rPr>
          <w:rStyle w:val="hps"/>
          <w:rFonts w:ascii="Times New Roman" w:hAnsi="Times New Roman"/>
          <w:i/>
          <w:iCs/>
          <w:sz w:val="24"/>
          <w:szCs w:val="24"/>
          <w:lang w:val="en-US"/>
        </w:rPr>
        <w:t xml:space="preserve"> </w:t>
      </w:r>
      <w:r w:rsidR="0045601A" w:rsidRPr="00EB7219">
        <w:rPr>
          <w:rStyle w:val="hps"/>
          <w:rFonts w:ascii="Times New Roman" w:hAnsi="Times New Roman"/>
          <w:i/>
          <w:iCs/>
          <w:sz w:val="24"/>
          <w:szCs w:val="24"/>
          <w:lang w:val="en-US"/>
        </w:rPr>
        <w:t>H.</w:t>
      </w:r>
      <w:r w:rsidRPr="00EB7219">
        <w:rPr>
          <w:rStyle w:val="hps"/>
          <w:rFonts w:ascii="Times New Roman" w:hAnsi="Times New Roman"/>
          <w:i/>
          <w:iCs/>
          <w:sz w:val="24"/>
          <w:szCs w:val="24"/>
          <w:lang w:val="en-US"/>
        </w:rPr>
        <w:t xml:space="preserve">, </w:t>
      </w:r>
      <w:proofErr w:type="spellStart"/>
      <w:r w:rsidRPr="00EB7219">
        <w:rPr>
          <w:rStyle w:val="hps"/>
          <w:rFonts w:ascii="Times New Roman" w:hAnsi="Times New Roman"/>
          <w:i/>
          <w:iCs/>
          <w:sz w:val="24"/>
          <w:szCs w:val="24"/>
          <w:lang w:val="en-US"/>
        </w:rPr>
        <w:t>Wiedenmann</w:t>
      </w:r>
      <w:proofErr w:type="spellEnd"/>
      <w:r w:rsidR="0045601A" w:rsidRPr="0045601A">
        <w:rPr>
          <w:rStyle w:val="hps"/>
          <w:rFonts w:ascii="Times New Roman" w:hAnsi="Times New Roman"/>
          <w:i/>
          <w:iCs/>
          <w:sz w:val="24"/>
          <w:szCs w:val="24"/>
          <w:lang w:val="en-US"/>
        </w:rPr>
        <w:t xml:space="preserve"> </w:t>
      </w:r>
      <w:r w:rsidR="0045601A">
        <w:rPr>
          <w:rStyle w:val="hps"/>
          <w:rFonts w:ascii="Times New Roman" w:hAnsi="Times New Roman"/>
          <w:i/>
          <w:iCs/>
          <w:sz w:val="24"/>
          <w:szCs w:val="24"/>
          <w:lang w:val="en-US"/>
        </w:rPr>
        <w:t>G</w:t>
      </w:r>
      <w:r w:rsidRPr="00EB7219">
        <w:rPr>
          <w:rStyle w:val="hps"/>
          <w:rFonts w:ascii="Times New Roman" w:hAnsi="Times New Roman"/>
          <w:i/>
          <w:iCs/>
          <w:sz w:val="24"/>
          <w:szCs w:val="24"/>
          <w:lang w:val="en-US"/>
        </w:rPr>
        <w:t>.</w:t>
      </w:r>
      <w:r w:rsidRPr="00EB7219">
        <w:rPr>
          <w:rStyle w:val="a6"/>
          <w:rFonts w:ascii="Helvetica" w:hAnsi="Helvetica" w:cs="Helvetica"/>
          <w:color w:val="333333"/>
          <w:sz w:val="21"/>
          <w:szCs w:val="21"/>
          <w:shd w:val="clear" w:color="auto" w:fill="F5F5F5"/>
          <w:lang w:val="en-US"/>
        </w:rPr>
        <w:t> </w:t>
      </w:r>
      <w:r w:rsidRPr="00EB7219">
        <w:rPr>
          <w:rFonts w:ascii="Times New Roman" w:eastAsia="Times New Roman" w:hAnsi="Times New Roman"/>
          <w:sz w:val="24"/>
          <w:szCs w:val="24"/>
          <w:lang w:val="en-GB"/>
        </w:rPr>
        <w:t>Determination of </w:t>
      </w:r>
      <w:r w:rsidR="00EB7219" w:rsidRPr="00EB7219">
        <w:rPr>
          <w:rFonts w:ascii="Times New Roman" w:eastAsia="Times New Roman" w:hAnsi="Times New Roman"/>
          <w:i/>
          <w:iCs/>
          <w:sz w:val="24"/>
          <w:szCs w:val="24"/>
          <w:lang w:val="en-GB"/>
        </w:rPr>
        <w:t>f</w:t>
      </w:r>
      <w:r w:rsidR="00EB7219" w:rsidRPr="00EB7219">
        <w:rPr>
          <w:rFonts w:ascii="Times New Roman" w:eastAsia="Times New Roman" w:hAnsi="Times New Roman"/>
          <w:sz w:val="24"/>
          <w:szCs w:val="24"/>
          <w:lang w:val="en-GB"/>
        </w:rPr>
        <w:t xml:space="preserve"> (</w:t>
      </w:r>
      <w:r w:rsidRPr="00EB7219">
        <w:rPr>
          <w:rFonts w:ascii="Times New Roman" w:eastAsia="Times New Roman" w:hAnsi="Times New Roman"/>
          <w:sz w:val="24"/>
          <w:szCs w:val="24"/>
          <w:lang w:val="en-GB"/>
        </w:rPr>
        <w:t xml:space="preserve">α) for a limited random point set // Physical Review A. 1989. V.40. № 7. </w:t>
      </w:r>
      <w:r w:rsidR="0045601A">
        <w:rPr>
          <w:rFonts w:ascii="Times New Roman" w:eastAsia="Times New Roman" w:hAnsi="Times New Roman"/>
          <w:sz w:val="24"/>
          <w:szCs w:val="24"/>
          <w:lang w:val="en-GB"/>
        </w:rPr>
        <w:t xml:space="preserve">P. </w:t>
      </w:r>
      <w:r w:rsidRPr="00EB7219">
        <w:rPr>
          <w:rFonts w:ascii="Times New Roman" w:eastAsia="Times New Roman" w:hAnsi="Times New Roman"/>
          <w:sz w:val="24"/>
          <w:szCs w:val="24"/>
          <w:lang w:val="en-GB"/>
        </w:rPr>
        <w:t>39</w:t>
      </w:r>
      <w:r w:rsidR="0045601A">
        <w:rPr>
          <w:rFonts w:ascii="Times New Roman" w:eastAsia="Times New Roman" w:hAnsi="Times New Roman"/>
          <w:sz w:val="24"/>
          <w:szCs w:val="24"/>
          <w:lang w:val="en-GB"/>
        </w:rPr>
        <w:t>-</w:t>
      </w:r>
      <w:r w:rsidRPr="00EB7219">
        <w:rPr>
          <w:rFonts w:ascii="Times New Roman" w:eastAsia="Times New Roman" w:hAnsi="Times New Roman"/>
          <w:sz w:val="24"/>
          <w:szCs w:val="24"/>
          <w:lang w:val="en-GB"/>
        </w:rPr>
        <w:t>54</w:t>
      </w:r>
      <w:r w:rsidR="0045601A">
        <w:rPr>
          <w:rFonts w:ascii="Times New Roman" w:eastAsia="Times New Roman" w:hAnsi="Times New Roman"/>
          <w:sz w:val="24"/>
          <w:szCs w:val="24"/>
          <w:lang w:val="en-GB"/>
        </w:rPr>
        <w:t>.</w:t>
      </w:r>
      <w:r w:rsidRPr="00EB7219">
        <w:rPr>
          <w:rFonts w:ascii="Times New Roman" w:eastAsia="Times New Roman" w:hAnsi="Times New Roman"/>
          <w:sz w:val="24"/>
          <w:szCs w:val="24"/>
          <w:lang w:val="en-GB"/>
        </w:rPr>
        <w:t xml:space="preserve"> </w:t>
      </w:r>
    </w:p>
    <w:p w:rsidR="00983CCB" w:rsidRPr="00983CCB" w:rsidRDefault="00983CCB" w:rsidP="00C631E2">
      <w:pPr>
        <w:widowControl w:val="0"/>
        <w:suppressLineNumbers/>
        <w:suppressAutoHyphens/>
        <w:spacing w:after="0" w:line="240" w:lineRule="auto"/>
        <w:ind w:firstLine="539"/>
        <w:contextualSpacing/>
        <w:jc w:val="both"/>
        <w:rPr>
          <w:rFonts w:ascii="Helvetica" w:hAnsi="Helvetica" w:cs="Helvetica"/>
          <w:color w:val="333333"/>
          <w:sz w:val="21"/>
          <w:szCs w:val="21"/>
          <w:shd w:val="clear" w:color="auto" w:fill="F5F5F5"/>
          <w:lang w:val="en-US"/>
        </w:rPr>
      </w:pPr>
    </w:p>
    <w:p w:rsidR="00983CCB" w:rsidRPr="00983CCB" w:rsidRDefault="00983CCB" w:rsidP="00983CCB">
      <w:pPr>
        <w:pStyle w:val="SectionHeading"/>
        <w:spacing w:before="0" w:after="0"/>
        <w:ind w:firstLine="567"/>
        <w:jc w:val="both"/>
        <w:rPr>
          <w:bCs w:val="0"/>
          <w:sz w:val="24"/>
          <w:szCs w:val="24"/>
        </w:rPr>
      </w:pPr>
      <w:r w:rsidRPr="00983CCB">
        <w:rPr>
          <w:sz w:val="24"/>
          <w:szCs w:val="24"/>
        </w:rPr>
        <w:t>Conferences and Symposia</w:t>
      </w:r>
    </w:p>
    <w:p w:rsidR="00983CCB" w:rsidRPr="00EB7219" w:rsidRDefault="00983CCB" w:rsidP="00EB7219">
      <w:pPr>
        <w:pStyle w:val="a8"/>
        <w:widowControl w:val="0"/>
        <w:numPr>
          <w:ilvl w:val="0"/>
          <w:numId w:val="2"/>
        </w:numPr>
        <w:suppressLineNumbers/>
        <w:suppressAutoHyphens/>
        <w:spacing w:after="0" w:line="240" w:lineRule="auto"/>
        <w:jc w:val="both"/>
        <w:rPr>
          <w:rFonts w:ascii="Times New Roman" w:hAnsi="Times New Roman"/>
          <w:sz w:val="24"/>
          <w:szCs w:val="24"/>
          <w:lang w:val="az-Latn-AZ"/>
        </w:rPr>
      </w:pPr>
      <w:proofErr w:type="spellStart"/>
      <w:r w:rsidRPr="00EB7219">
        <w:rPr>
          <w:rStyle w:val="hps"/>
          <w:rFonts w:ascii="Times New Roman" w:hAnsi="Times New Roman"/>
          <w:i/>
          <w:sz w:val="24"/>
          <w:szCs w:val="24"/>
          <w:lang w:val="en-US"/>
        </w:rPr>
        <w:t>Aliyeva</w:t>
      </w:r>
      <w:proofErr w:type="spellEnd"/>
      <w:r w:rsidR="0045601A" w:rsidRPr="0045601A">
        <w:rPr>
          <w:rStyle w:val="hps"/>
          <w:rFonts w:ascii="Times New Roman" w:hAnsi="Times New Roman"/>
          <w:i/>
          <w:sz w:val="24"/>
          <w:szCs w:val="24"/>
          <w:lang w:val="en-US"/>
        </w:rPr>
        <w:t xml:space="preserve"> </w:t>
      </w:r>
      <w:r w:rsidR="0045601A" w:rsidRPr="00EB7219">
        <w:rPr>
          <w:rStyle w:val="hps"/>
          <w:rFonts w:ascii="Times New Roman" w:hAnsi="Times New Roman"/>
          <w:i/>
          <w:sz w:val="24"/>
          <w:szCs w:val="24"/>
          <w:lang w:val="en-US"/>
        </w:rPr>
        <w:t>E.G</w:t>
      </w:r>
      <w:r w:rsidRPr="00EB7219">
        <w:rPr>
          <w:rStyle w:val="hps"/>
          <w:rFonts w:ascii="Times New Roman" w:hAnsi="Times New Roman"/>
          <w:i/>
          <w:sz w:val="24"/>
          <w:szCs w:val="24"/>
          <w:lang w:val="en-US"/>
        </w:rPr>
        <w:t>.</w:t>
      </w:r>
      <w:r w:rsidRPr="00EB7219">
        <w:rPr>
          <w:rStyle w:val="a6"/>
          <w:rFonts w:ascii="Helvetica" w:hAnsi="Helvetica" w:cs="Helvetica"/>
          <w:color w:val="333333"/>
          <w:sz w:val="21"/>
          <w:szCs w:val="21"/>
          <w:shd w:val="clear" w:color="auto" w:fill="F5F5F5"/>
          <w:lang w:val="en-US"/>
        </w:rPr>
        <w:t> </w:t>
      </w:r>
      <w:r w:rsidRPr="00EB7219">
        <w:rPr>
          <w:rFonts w:ascii="Times New Roman" w:eastAsia="Times New Roman" w:hAnsi="Times New Roman"/>
          <w:sz w:val="24"/>
          <w:szCs w:val="24"/>
          <w:lang w:val="en-GB"/>
        </w:rPr>
        <w:t xml:space="preserve">Model of HC generation and accumulation applied to prospects of Caspian </w:t>
      </w:r>
      <w:r w:rsidR="00EB7219" w:rsidRPr="00EB7219">
        <w:rPr>
          <w:rFonts w:ascii="Times New Roman" w:eastAsia="Times New Roman" w:hAnsi="Times New Roman"/>
          <w:sz w:val="24"/>
          <w:szCs w:val="24"/>
          <w:lang w:val="en-GB"/>
        </w:rPr>
        <w:t>deep-water</w:t>
      </w:r>
      <w:r w:rsidRPr="00EB7219">
        <w:rPr>
          <w:rFonts w:ascii="Times New Roman" w:eastAsia="Times New Roman" w:hAnsi="Times New Roman"/>
          <w:sz w:val="24"/>
          <w:szCs w:val="24"/>
          <w:lang w:val="en-GB"/>
        </w:rPr>
        <w:t xml:space="preserve"> part </w:t>
      </w:r>
      <w:r w:rsidRPr="00EB7219">
        <w:rPr>
          <w:rFonts w:ascii="Times New Roman" w:eastAsia="Times New Roman" w:hAnsi="Times New Roman"/>
          <w:iCs/>
          <w:sz w:val="24"/>
          <w:szCs w:val="24"/>
          <w:lang w:val="en-GB"/>
        </w:rPr>
        <w:t xml:space="preserve">// 65th EAGE Conference and Exhibition. Stavanger. Norway. </w:t>
      </w:r>
      <w:r w:rsidR="0045601A">
        <w:rPr>
          <w:rFonts w:ascii="Times New Roman" w:eastAsia="Times New Roman" w:hAnsi="Times New Roman"/>
          <w:iCs/>
          <w:sz w:val="24"/>
          <w:szCs w:val="24"/>
          <w:lang w:val="en-GB"/>
        </w:rPr>
        <w:t xml:space="preserve">‒ </w:t>
      </w:r>
      <w:bookmarkStart w:id="1" w:name="_GoBack"/>
      <w:bookmarkEnd w:id="1"/>
      <w:r w:rsidRPr="00EB7219">
        <w:rPr>
          <w:rFonts w:ascii="Times New Roman" w:eastAsia="Times New Roman" w:hAnsi="Times New Roman"/>
          <w:iCs/>
          <w:sz w:val="24"/>
          <w:szCs w:val="24"/>
          <w:lang w:val="en-GB"/>
        </w:rPr>
        <w:t>2003.  P.</w:t>
      </w:r>
      <w:r w:rsidR="0045601A">
        <w:rPr>
          <w:rFonts w:ascii="Times New Roman" w:eastAsia="Times New Roman" w:hAnsi="Times New Roman"/>
          <w:iCs/>
          <w:sz w:val="24"/>
          <w:szCs w:val="24"/>
          <w:lang w:val="en-GB"/>
        </w:rPr>
        <w:t xml:space="preserve"> </w:t>
      </w:r>
      <w:r w:rsidRPr="00EB7219">
        <w:rPr>
          <w:rFonts w:ascii="Times New Roman" w:eastAsia="Times New Roman" w:hAnsi="Times New Roman"/>
          <w:iCs/>
          <w:sz w:val="24"/>
          <w:szCs w:val="24"/>
          <w:lang w:val="en-GB"/>
        </w:rPr>
        <w:t>4</w:t>
      </w:r>
      <w:r w:rsidR="00EB7219" w:rsidRPr="00EB7219">
        <w:rPr>
          <w:rFonts w:ascii="Times New Roman" w:eastAsia="Times New Roman" w:hAnsi="Times New Roman"/>
          <w:iCs/>
          <w:sz w:val="24"/>
          <w:szCs w:val="24"/>
          <w:lang w:val="en-GB"/>
        </w:rPr>
        <w:t>.</w:t>
      </w:r>
    </w:p>
    <w:p w:rsidR="00C631E2" w:rsidRDefault="00C631E2" w:rsidP="00C631E2">
      <w:pPr>
        <w:widowControl w:val="0"/>
        <w:suppressLineNumbers/>
        <w:suppressAutoHyphens/>
        <w:spacing w:after="0" w:line="240" w:lineRule="auto"/>
        <w:ind w:firstLine="539"/>
        <w:contextualSpacing/>
        <w:jc w:val="both"/>
        <w:rPr>
          <w:rFonts w:ascii="Times New Roman" w:hAnsi="Times New Roman"/>
          <w:sz w:val="24"/>
          <w:szCs w:val="24"/>
          <w:lang w:val="az-Latn-AZ"/>
        </w:rPr>
      </w:pPr>
    </w:p>
    <w:p w:rsidR="00983CCB" w:rsidRPr="00EB7219" w:rsidRDefault="00983CCB" w:rsidP="00C631E2">
      <w:pPr>
        <w:widowControl w:val="0"/>
        <w:suppressLineNumbers/>
        <w:suppressAutoHyphens/>
        <w:spacing w:after="0" w:line="240" w:lineRule="auto"/>
        <w:ind w:firstLine="539"/>
        <w:contextualSpacing/>
        <w:jc w:val="both"/>
        <w:rPr>
          <w:rFonts w:ascii="Times New Roman" w:eastAsia="Times New Roman" w:hAnsi="Times New Roman"/>
          <w:sz w:val="24"/>
          <w:szCs w:val="24"/>
          <w:lang w:val="en-GB"/>
        </w:rPr>
      </w:pPr>
      <w:r w:rsidRPr="00EB7219">
        <w:rPr>
          <w:rFonts w:ascii="Times New Roman" w:eastAsia="Times New Roman" w:hAnsi="Times New Roman"/>
          <w:b/>
          <w:i/>
          <w:iCs/>
          <w:sz w:val="24"/>
          <w:szCs w:val="24"/>
          <w:lang w:val="en-GB"/>
        </w:rPr>
        <w:t>Acknowledgments.</w:t>
      </w:r>
      <w:r w:rsidRPr="00983CCB">
        <w:rPr>
          <w:rFonts w:ascii="Helvetica" w:hAnsi="Helvetica" w:cs="Helvetica"/>
          <w:color w:val="333333"/>
          <w:sz w:val="21"/>
          <w:szCs w:val="21"/>
          <w:shd w:val="clear" w:color="auto" w:fill="F5F5F5"/>
          <w:lang w:val="en-US"/>
        </w:rPr>
        <w:t> </w:t>
      </w:r>
      <w:r w:rsidRPr="00EB7219">
        <w:rPr>
          <w:rFonts w:ascii="Times New Roman" w:eastAsia="Times New Roman" w:hAnsi="Times New Roman"/>
          <w:i/>
          <w:sz w:val="24"/>
          <w:szCs w:val="24"/>
          <w:lang w:val="en-GB"/>
        </w:rPr>
        <w:t>Acknowledge financial support, advice, or other kinds of assistance at the end of the paper.</w:t>
      </w:r>
    </w:p>
    <w:p w:rsidR="00802ED2" w:rsidRPr="00802ED2" w:rsidRDefault="00802ED2" w:rsidP="00802ED2">
      <w:pPr>
        <w:jc w:val="center"/>
        <w:rPr>
          <w:rFonts w:ascii="Times New Roman" w:hAnsi="Times New Roman"/>
          <w:color w:val="FF0000"/>
          <w:sz w:val="24"/>
          <w:szCs w:val="24"/>
          <w:lang w:val="en-US"/>
        </w:rPr>
      </w:pPr>
    </w:p>
    <w:sectPr w:rsidR="00802ED2" w:rsidRPr="00802ED2" w:rsidSect="00B0562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36778"/>
    <w:multiLevelType w:val="hybridMultilevel"/>
    <w:tmpl w:val="C308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05091A"/>
    <w:multiLevelType w:val="hybridMultilevel"/>
    <w:tmpl w:val="605AE2A4"/>
    <w:lvl w:ilvl="0" w:tplc="6FDA8B60">
      <w:start w:val="1"/>
      <w:numFmt w:val="decimal"/>
      <w:lvlText w:val="%1."/>
      <w:lvlJc w:val="left"/>
      <w:pPr>
        <w:ind w:left="899" w:hanging="360"/>
      </w:pPr>
      <w:rPr>
        <w:rFonts w:eastAsia="Calibri" w:hint="default"/>
        <w:i/>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FE"/>
    <w:rsid w:val="00000CB9"/>
    <w:rsid w:val="00004C42"/>
    <w:rsid w:val="000079C4"/>
    <w:rsid w:val="00007ADB"/>
    <w:rsid w:val="000118CD"/>
    <w:rsid w:val="000174C1"/>
    <w:rsid w:val="0002186B"/>
    <w:rsid w:val="00021974"/>
    <w:rsid w:val="00031D61"/>
    <w:rsid w:val="0003274A"/>
    <w:rsid w:val="00036BD2"/>
    <w:rsid w:val="00037751"/>
    <w:rsid w:val="000403CA"/>
    <w:rsid w:val="00044784"/>
    <w:rsid w:val="000452D8"/>
    <w:rsid w:val="000470F8"/>
    <w:rsid w:val="00050405"/>
    <w:rsid w:val="00050BE1"/>
    <w:rsid w:val="00053463"/>
    <w:rsid w:val="000535CE"/>
    <w:rsid w:val="00057C09"/>
    <w:rsid w:val="00061CEC"/>
    <w:rsid w:val="00064139"/>
    <w:rsid w:val="000645D0"/>
    <w:rsid w:val="0006554C"/>
    <w:rsid w:val="000701A1"/>
    <w:rsid w:val="00071A96"/>
    <w:rsid w:val="00071E74"/>
    <w:rsid w:val="00074374"/>
    <w:rsid w:val="00075687"/>
    <w:rsid w:val="000932CB"/>
    <w:rsid w:val="00093416"/>
    <w:rsid w:val="00093BCA"/>
    <w:rsid w:val="00096134"/>
    <w:rsid w:val="000A1478"/>
    <w:rsid w:val="000A76C3"/>
    <w:rsid w:val="000C0FB2"/>
    <w:rsid w:val="000C2681"/>
    <w:rsid w:val="000C3B96"/>
    <w:rsid w:val="000C440D"/>
    <w:rsid w:val="000C48CE"/>
    <w:rsid w:val="000D0A06"/>
    <w:rsid w:val="000D1911"/>
    <w:rsid w:val="000D4206"/>
    <w:rsid w:val="000D6375"/>
    <w:rsid w:val="000F10FA"/>
    <w:rsid w:val="000F2006"/>
    <w:rsid w:val="000F38E5"/>
    <w:rsid w:val="000F47FE"/>
    <w:rsid w:val="000F624C"/>
    <w:rsid w:val="000F6B55"/>
    <w:rsid w:val="000F7D30"/>
    <w:rsid w:val="0010152B"/>
    <w:rsid w:val="00102A8B"/>
    <w:rsid w:val="00102BE7"/>
    <w:rsid w:val="001032DC"/>
    <w:rsid w:val="00103E0A"/>
    <w:rsid w:val="001076FB"/>
    <w:rsid w:val="0010795E"/>
    <w:rsid w:val="001131A8"/>
    <w:rsid w:val="001227C0"/>
    <w:rsid w:val="001257DB"/>
    <w:rsid w:val="00125DD2"/>
    <w:rsid w:val="00131131"/>
    <w:rsid w:val="001311CF"/>
    <w:rsid w:val="001315EA"/>
    <w:rsid w:val="001320F6"/>
    <w:rsid w:val="00135B1F"/>
    <w:rsid w:val="00135C11"/>
    <w:rsid w:val="0013692E"/>
    <w:rsid w:val="00143BA2"/>
    <w:rsid w:val="001459F6"/>
    <w:rsid w:val="001476E4"/>
    <w:rsid w:val="00150AED"/>
    <w:rsid w:val="00152192"/>
    <w:rsid w:val="001529A7"/>
    <w:rsid w:val="00154D3A"/>
    <w:rsid w:val="0015512A"/>
    <w:rsid w:val="00156B96"/>
    <w:rsid w:val="00162867"/>
    <w:rsid w:val="00162B28"/>
    <w:rsid w:val="00162F70"/>
    <w:rsid w:val="00163896"/>
    <w:rsid w:val="00163AE6"/>
    <w:rsid w:val="00164BD9"/>
    <w:rsid w:val="00170AF7"/>
    <w:rsid w:val="0017662A"/>
    <w:rsid w:val="0017775E"/>
    <w:rsid w:val="001817D6"/>
    <w:rsid w:val="00183752"/>
    <w:rsid w:val="00184667"/>
    <w:rsid w:val="00184C7F"/>
    <w:rsid w:val="00186DC4"/>
    <w:rsid w:val="00193093"/>
    <w:rsid w:val="001952CB"/>
    <w:rsid w:val="001A02A0"/>
    <w:rsid w:val="001A2B3A"/>
    <w:rsid w:val="001A4D81"/>
    <w:rsid w:val="001A4F03"/>
    <w:rsid w:val="001A70AD"/>
    <w:rsid w:val="001A7A3C"/>
    <w:rsid w:val="001B0555"/>
    <w:rsid w:val="001B09A3"/>
    <w:rsid w:val="001B33B2"/>
    <w:rsid w:val="001B435A"/>
    <w:rsid w:val="001B5471"/>
    <w:rsid w:val="001B7D86"/>
    <w:rsid w:val="001C057E"/>
    <w:rsid w:val="001C390A"/>
    <w:rsid w:val="001C5F10"/>
    <w:rsid w:val="001D13ED"/>
    <w:rsid w:val="001D168B"/>
    <w:rsid w:val="001D5C5E"/>
    <w:rsid w:val="001D7680"/>
    <w:rsid w:val="001F4034"/>
    <w:rsid w:val="001F40F7"/>
    <w:rsid w:val="001F413A"/>
    <w:rsid w:val="001F7DC6"/>
    <w:rsid w:val="0020033C"/>
    <w:rsid w:val="00202732"/>
    <w:rsid w:val="0020488E"/>
    <w:rsid w:val="00206928"/>
    <w:rsid w:val="002069ED"/>
    <w:rsid w:val="00207CD3"/>
    <w:rsid w:val="0021176B"/>
    <w:rsid w:val="00212A56"/>
    <w:rsid w:val="00212C19"/>
    <w:rsid w:val="002148A0"/>
    <w:rsid w:val="002166DF"/>
    <w:rsid w:val="00224CA4"/>
    <w:rsid w:val="002256F1"/>
    <w:rsid w:val="0022788F"/>
    <w:rsid w:val="002306F4"/>
    <w:rsid w:val="00232196"/>
    <w:rsid w:val="00240160"/>
    <w:rsid w:val="00240C17"/>
    <w:rsid w:val="00242649"/>
    <w:rsid w:val="002457A8"/>
    <w:rsid w:val="00250157"/>
    <w:rsid w:val="0025374E"/>
    <w:rsid w:val="00257E56"/>
    <w:rsid w:val="0026046A"/>
    <w:rsid w:val="0026102C"/>
    <w:rsid w:val="00265070"/>
    <w:rsid w:val="002667C9"/>
    <w:rsid w:val="002667FF"/>
    <w:rsid w:val="00276ED4"/>
    <w:rsid w:val="002824A5"/>
    <w:rsid w:val="00283BAA"/>
    <w:rsid w:val="00283DA3"/>
    <w:rsid w:val="002857C1"/>
    <w:rsid w:val="00286C0A"/>
    <w:rsid w:val="0029187A"/>
    <w:rsid w:val="00291F9F"/>
    <w:rsid w:val="002939AF"/>
    <w:rsid w:val="00297037"/>
    <w:rsid w:val="002A1868"/>
    <w:rsid w:val="002A199B"/>
    <w:rsid w:val="002A3FC1"/>
    <w:rsid w:val="002A781C"/>
    <w:rsid w:val="002B1B71"/>
    <w:rsid w:val="002B2633"/>
    <w:rsid w:val="002B3E98"/>
    <w:rsid w:val="002B45AC"/>
    <w:rsid w:val="002C0CAF"/>
    <w:rsid w:val="002C5358"/>
    <w:rsid w:val="002C5943"/>
    <w:rsid w:val="002C6211"/>
    <w:rsid w:val="002C6CF3"/>
    <w:rsid w:val="002D16D8"/>
    <w:rsid w:val="002D3A92"/>
    <w:rsid w:val="002D49C9"/>
    <w:rsid w:val="002D602A"/>
    <w:rsid w:val="002D6F02"/>
    <w:rsid w:val="002E2B2F"/>
    <w:rsid w:val="002F056F"/>
    <w:rsid w:val="002F2841"/>
    <w:rsid w:val="002F2F37"/>
    <w:rsid w:val="002F37D8"/>
    <w:rsid w:val="002F3FF3"/>
    <w:rsid w:val="002F4079"/>
    <w:rsid w:val="002F40A8"/>
    <w:rsid w:val="002F6127"/>
    <w:rsid w:val="002F660A"/>
    <w:rsid w:val="002F724E"/>
    <w:rsid w:val="00301537"/>
    <w:rsid w:val="003019FE"/>
    <w:rsid w:val="00301E73"/>
    <w:rsid w:val="003041CF"/>
    <w:rsid w:val="00306990"/>
    <w:rsid w:val="00306DA5"/>
    <w:rsid w:val="0031172D"/>
    <w:rsid w:val="0031283F"/>
    <w:rsid w:val="00312DA1"/>
    <w:rsid w:val="00316FD0"/>
    <w:rsid w:val="00322FEE"/>
    <w:rsid w:val="003232A8"/>
    <w:rsid w:val="0032389C"/>
    <w:rsid w:val="00324EA1"/>
    <w:rsid w:val="003273B4"/>
    <w:rsid w:val="00333292"/>
    <w:rsid w:val="00335435"/>
    <w:rsid w:val="00336451"/>
    <w:rsid w:val="0034219D"/>
    <w:rsid w:val="00342C4F"/>
    <w:rsid w:val="0034405A"/>
    <w:rsid w:val="003448B7"/>
    <w:rsid w:val="003455D7"/>
    <w:rsid w:val="0034630B"/>
    <w:rsid w:val="003475C8"/>
    <w:rsid w:val="00352203"/>
    <w:rsid w:val="003532D5"/>
    <w:rsid w:val="0036061D"/>
    <w:rsid w:val="003609E7"/>
    <w:rsid w:val="00362D42"/>
    <w:rsid w:val="00366B46"/>
    <w:rsid w:val="003674D5"/>
    <w:rsid w:val="0037073E"/>
    <w:rsid w:val="00374498"/>
    <w:rsid w:val="00374A31"/>
    <w:rsid w:val="00375F6A"/>
    <w:rsid w:val="00376445"/>
    <w:rsid w:val="00385EA2"/>
    <w:rsid w:val="003874F0"/>
    <w:rsid w:val="00397495"/>
    <w:rsid w:val="003A2E88"/>
    <w:rsid w:val="003A36BF"/>
    <w:rsid w:val="003A7604"/>
    <w:rsid w:val="003A7934"/>
    <w:rsid w:val="003B0115"/>
    <w:rsid w:val="003B1970"/>
    <w:rsid w:val="003B28F2"/>
    <w:rsid w:val="003B48F9"/>
    <w:rsid w:val="003C1E5F"/>
    <w:rsid w:val="003C4084"/>
    <w:rsid w:val="003C6870"/>
    <w:rsid w:val="003C79B2"/>
    <w:rsid w:val="003D2C7D"/>
    <w:rsid w:val="003D2FE5"/>
    <w:rsid w:val="003D5C8A"/>
    <w:rsid w:val="003D6069"/>
    <w:rsid w:val="003E08D3"/>
    <w:rsid w:val="003E3303"/>
    <w:rsid w:val="003E5447"/>
    <w:rsid w:val="003F3957"/>
    <w:rsid w:val="003F5E84"/>
    <w:rsid w:val="003F7CF4"/>
    <w:rsid w:val="00400AC5"/>
    <w:rsid w:val="00401091"/>
    <w:rsid w:val="004035CD"/>
    <w:rsid w:val="00403A72"/>
    <w:rsid w:val="0040496D"/>
    <w:rsid w:val="004108CC"/>
    <w:rsid w:val="00410A6D"/>
    <w:rsid w:val="00410E9D"/>
    <w:rsid w:val="00416999"/>
    <w:rsid w:val="004221DF"/>
    <w:rsid w:val="00423599"/>
    <w:rsid w:val="0042619A"/>
    <w:rsid w:val="004337CA"/>
    <w:rsid w:val="004339C6"/>
    <w:rsid w:val="00434DFE"/>
    <w:rsid w:val="004409FA"/>
    <w:rsid w:val="00446E3B"/>
    <w:rsid w:val="0044756C"/>
    <w:rsid w:val="0044763A"/>
    <w:rsid w:val="004516EF"/>
    <w:rsid w:val="0045601A"/>
    <w:rsid w:val="004579FB"/>
    <w:rsid w:val="004608D0"/>
    <w:rsid w:val="00460DB6"/>
    <w:rsid w:val="004611AC"/>
    <w:rsid w:val="00467021"/>
    <w:rsid w:val="00471CE3"/>
    <w:rsid w:val="00473D22"/>
    <w:rsid w:val="00475D65"/>
    <w:rsid w:val="00477AB2"/>
    <w:rsid w:val="00484AF9"/>
    <w:rsid w:val="00485581"/>
    <w:rsid w:val="00486201"/>
    <w:rsid w:val="00490285"/>
    <w:rsid w:val="004910A5"/>
    <w:rsid w:val="004924FD"/>
    <w:rsid w:val="00492C03"/>
    <w:rsid w:val="004949A5"/>
    <w:rsid w:val="004975CB"/>
    <w:rsid w:val="004A1568"/>
    <w:rsid w:val="004A2432"/>
    <w:rsid w:val="004A3A61"/>
    <w:rsid w:val="004B2548"/>
    <w:rsid w:val="004B3220"/>
    <w:rsid w:val="004B6C57"/>
    <w:rsid w:val="004C05DB"/>
    <w:rsid w:val="004C4B78"/>
    <w:rsid w:val="004D0E2D"/>
    <w:rsid w:val="004D1E77"/>
    <w:rsid w:val="004D3D10"/>
    <w:rsid w:val="004D3EC2"/>
    <w:rsid w:val="004D5E92"/>
    <w:rsid w:val="004D7325"/>
    <w:rsid w:val="004D7406"/>
    <w:rsid w:val="004E0B7E"/>
    <w:rsid w:val="004E3884"/>
    <w:rsid w:val="004E7E57"/>
    <w:rsid w:val="004F01AE"/>
    <w:rsid w:val="0050072D"/>
    <w:rsid w:val="005013F1"/>
    <w:rsid w:val="00501E1A"/>
    <w:rsid w:val="00504C79"/>
    <w:rsid w:val="00504FF2"/>
    <w:rsid w:val="00514374"/>
    <w:rsid w:val="0051462F"/>
    <w:rsid w:val="00515A9E"/>
    <w:rsid w:val="005223C7"/>
    <w:rsid w:val="00523FEA"/>
    <w:rsid w:val="00524043"/>
    <w:rsid w:val="00525706"/>
    <w:rsid w:val="00526204"/>
    <w:rsid w:val="00526631"/>
    <w:rsid w:val="00527D3E"/>
    <w:rsid w:val="00531772"/>
    <w:rsid w:val="0053565F"/>
    <w:rsid w:val="005458A1"/>
    <w:rsid w:val="00546353"/>
    <w:rsid w:val="00550FE2"/>
    <w:rsid w:val="0055244E"/>
    <w:rsid w:val="005525DF"/>
    <w:rsid w:val="00564C8E"/>
    <w:rsid w:val="005663BD"/>
    <w:rsid w:val="00566808"/>
    <w:rsid w:val="0056681D"/>
    <w:rsid w:val="00575A30"/>
    <w:rsid w:val="00591287"/>
    <w:rsid w:val="00592B35"/>
    <w:rsid w:val="005A332E"/>
    <w:rsid w:val="005A3332"/>
    <w:rsid w:val="005A40F6"/>
    <w:rsid w:val="005A4B7A"/>
    <w:rsid w:val="005B4244"/>
    <w:rsid w:val="005B63F4"/>
    <w:rsid w:val="005B6B3C"/>
    <w:rsid w:val="005B7B58"/>
    <w:rsid w:val="005C0420"/>
    <w:rsid w:val="005C061E"/>
    <w:rsid w:val="005C0717"/>
    <w:rsid w:val="005C5200"/>
    <w:rsid w:val="005C5F3B"/>
    <w:rsid w:val="005D1370"/>
    <w:rsid w:val="005D17DD"/>
    <w:rsid w:val="005D3A60"/>
    <w:rsid w:val="005E11B1"/>
    <w:rsid w:val="005F223C"/>
    <w:rsid w:val="005F238E"/>
    <w:rsid w:val="005F54DB"/>
    <w:rsid w:val="005F72BD"/>
    <w:rsid w:val="006019DB"/>
    <w:rsid w:val="006020B5"/>
    <w:rsid w:val="006020B9"/>
    <w:rsid w:val="006021AA"/>
    <w:rsid w:val="006036FD"/>
    <w:rsid w:val="00610457"/>
    <w:rsid w:val="006105B0"/>
    <w:rsid w:val="006125B7"/>
    <w:rsid w:val="006149E6"/>
    <w:rsid w:val="00616FF3"/>
    <w:rsid w:val="00623FA1"/>
    <w:rsid w:val="00624A43"/>
    <w:rsid w:val="006259C2"/>
    <w:rsid w:val="00626B33"/>
    <w:rsid w:val="00627077"/>
    <w:rsid w:val="006279FE"/>
    <w:rsid w:val="00631D9D"/>
    <w:rsid w:val="0063344C"/>
    <w:rsid w:val="00633B2D"/>
    <w:rsid w:val="00635713"/>
    <w:rsid w:val="00637C33"/>
    <w:rsid w:val="00640B9A"/>
    <w:rsid w:val="00643027"/>
    <w:rsid w:val="00644B63"/>
    <w:rsid w:val="006450D8"/>
    <w:rsid w:val="006505DE"/>
    <w:rsid w:val="00650794"/>
    <w:rsid w:val="006516E2"/>
    <w:rsid w:val="00655236"/>
    <w:rsid w:val="00661FF8"/>
    <w:rsid w:val="006620CD"/>
    <w:rsid w:val="00662987"/>
    <w:rsid w:val="0066356E"/>
    <w:rsid w:val="00663999"/>
    <w:rsid w:val="006642F0"/>
    <w:rsid w:val="006643EB"/>
    <w:rsid w:val="00673B14"/>
    <w:rsid w:val="00680836"/>
    <w:rsid w:val="00684D22"/>
    <w:rsid w:val="0068579F"/>
    <w:rsid w:val="0068770B"/>
    <w:rsid w:val="006911A0"/>
    <w:rsid w:val="0069170E"/>
    <w:rsid w:val="00692B99"/>
    <w:rsid w:val="006A0023"/>
    <w:rsid w:val="006A0EBC"/>
    <w:rsid w:val="006B71F5"/>
    <w:rsid w:val="006D05BE"/>
    <w:rsid w:val="006D066D"/>
    <w:rsid w:val="006D42FE"/>
    <w:rsid w:val="006D4508"/>
    <w:rsid w:val="006E00F8"/>
    <w:rsid w:val="006E1FBE"/>
    <w:rsid w:val="006E3683"/>
    <w:rsid w:val="006E6674"/>
    <w:rsid w:val="006E7C12"/>
    <w:rsid w:val="006F2A1F"/>
    <w:rsid w:val="006F57F2"/>
    <w:rsid w:val="006F71B4"/>
    <w:rsid w:val="00700824"/>
    <w:rsid w:val="00701381"/>
    <w:rsid w:val="007105B3"/>
    <w:rsid w:val="0071408A"/>
    <w:rsid w:val="00717A67"/>
    <w:rsid w:val="00721B09"/>
    <w:rsid w:val="007227FD"/>
    <w:rsid w:val="00724618"/>
    <w:rsid w:val="00730E7A"/>
    <w:rsid w:val="0073113F"/>
    <w:rsid w:val="00731B21"/>
    <w:rsid w:val="007321DA"/>
    <w:rsid w:val="007324A1"/>
    <w:rsid w:val="00735230"/>
    <w:rsid w:val="0073752F"/>
    <w:rsid w:val="00745111"/>
    <w:rsid w:val="0074543A"/>
    <w:rsid w:val="007454C3"/>
    <w:rsid w:val="007457E0"/>
    <w:rsid w:val="00746C94"/>
    <w:rsid w:val="0075076C"/>
    <w:rsid w:val="00751206"/>
    <w:rsid w:val="00752822"/>
    <w:rsid w:val="00753ACD"/>
    <w:rsid w:val="00753DBF"/>
    <w:rsid w:val="007546EA"/>
    <w:rsid w:val="00756BCB"/>
    <w:rsid w:val="00756D9B"/>
    <w:rsid w:val="0076459D"/>
    <w:rsid w:val="00765FD8"/>
    <w:rsid w:val="00770FC1"/>
    <w:rsid w:val="00773150"/>
    <w:rsid w:val="00784AFA"/>
    <w:rsid w:val="00785DDF"/>
    <w:rsid w:val="0079012D"/>
    <w:rsid w:val="00791095"/>
    <w:rsid w:val="00796CA2"/>
    <w:rsid w:val="00797895"/>
    <w:rsid w:val="00797C7F"/>
    <w:rsid w:val="007A6B5F"/>
    <w:rsid w:val="007B27B2"/>
    <w:rsid w:val="007C075B"/>
    <w:rsid w:val="007C2337"/>
    <w:rsid w:val="007C712E"/>
    <w:rsid w:val="007D34C4"/>
    <w:rsid w:val="007D445A"/>
    <w:rsid w:val="007D71AB"/>
    <w:rsid w:val="007D7251"/>
    <w:rsid w:val="007E3C89"/>
    <w:rsid w:val="007E44DC"/>
    <w:rsid w:val="007E4C80"/>
    <w:rsid w:val="007E6FDE"/>
    <w:rsid w:val="007E7FFC"/>
    <w:rsid w:val="007F20FC"/>
    <w:rsid w:val="007F397E"/>
    <w:rsid w:val="007F42EC"/>
    <w:rsid w:val="007F7868"/>
    <w:rsid w:val="008003E5"/>
    <w:rsid w:val="00802ED2"/>
    <w:rsid w:val="00803F32"/>
    <w:rsid w:val="00807139"/>
    <w:rsid w:val="008161AF"/>
    <w:rsid w:val="00831F4D"/>
    <w:rsid w:val="008328AE"/>
    <w:rsid w:val="00833882"/>
    <w:rsid w:val="00835680"/>
    <w:rsid w:val="00835B87"/>
    <w:rsid w:val="00835E09"/>
    <w:rsid w:val="00842430"/>
    <w:rsid w:val="00842AAF"/>
    <w:rsid w:val="00845471"/>
    <w:rsid w:val="00845E3E"/>
    <w:rsid w:val="008523AF"/>
    <w:rsid w:val="00853FE7"/>
    <w:rsid w:val="00854482"/>
    <w:rsid w:val="00854A49"/>
    <w:rsid w:val="008565B7"/>
    <w:rsid w:val="00856A90"/>
    <w:rsid w:val="008633DA"/>
    <w:rsid w:val="0086394D"/>
    <w:rsid w:val="00864E8C"/>
    <w:rsid w:val="008700EB"/>
    <w:rsid w:val="008712FC"/>
    <w:rsid w:val="00871F05"/>
    <w:rsid w:val="00882675"/>
    <w:rsid w:val="0088498B"/>
    <w:rsid w:val="00884E28"/>
    <w:rsid w:val="00887889"/>
    <w:rsid w:val="008A1236"/>
    <w:rsid w:val="008A4269"/>
    <w:rsid w:val="008A60A1"/>
    <w:rsid w:val="008A6CF5"/>
    <w:rsid w:val="008A7C76"/>
    <w:rsid w:val="008B0C0F"/>
    <w:rsid w:val="008B13DB"/>
    <w:rsid w:val="008B2CBB"/>
    <w:rsid w:val="008B3C20"/>
    <w:rsid w:val="008B4EE8"/>
    <w:rsid w:val="008B7867"/>
    <w:rsid w:val="008C0DCB"/>
    <w:rsid w:val="008C4673"/>
    <w:rsid w:val="008C56BE"/>
    <w:rsid w:val="008D0B80"/>
    <w:rsid w:val="008D25D3"/>
    <w:rsid w:val="008D74AC"/>
    <w:rsid w:val="008E04E3"/>
    <w:rsid w:val="008E4397"/>
    <w:rsid w:val="008E6660"/>
    <w:rsid w:val="008E7C9D"/>
    <w:rsid w:val="008F07AD"/>
    <w:rsid w:val="008F0D6A"/>
    <w:rsid w:val="008F3CA3"/>
    <w:rsid w:val="008F664F"/>
    <w:rsid w:val="008F73AB"/>
    <w:rsid w:val="00901098"/>
    <w:rsid w:val="00903432"/>
    <w:rsid w:val="00903DA5"/>
    <w:rsid w:val="00904AC3"/>
    <w:rsid w:val="00910114"/>
    <w:rsid w:val="009105D1"/>
    <w:rsid w:val="009112B2"/>
    <w:rsid w:val="0091150B"/>
    <w:rsid w:val="00912912"/>
    <w:rsid w:val="00912A70"/>
    <w:rsid w:val="009153E2"/>
    <w:rsid w:val="00920A5A"/>
    <w:rsid w:val="009221E7"/>
    <w:rsid w:val="009331FB"/>
    <w:rsid w:val="00935A25"/>
    <w:rsid w:val="00940E70"/>
    <w:rsid w:val="009413A4"/>
    <w:rsid w:val="00942F1C"/>
    <w:rsid w:val="009445E0"/>
    <w:rsid w:val="00944F02"/>
    <w:rsid w:val="0094546E"/>
    <w:rsid w:val="00950D58"/>
    <w:rsid w:val="00957F81"/>
    <w:rsid w:val="00960830"/>
    <w:rsid w:val="00963BB1"/>
    <w:rsid w:val="00963E08"/>
    <w:rsid w:val="00964E2D"/>
    <w:rsid w:val="009664C1"/>
    <w:rsid w:val="00966BE7"/>
    <w:rsid w:val="00976A6C"/>
    <w:rsid w:val="009777B5"/>
    <w:rsid w:val="009826D4"/>
    <w:rsid w:val="0098274E"/>
    <w:rsid w:val="00982925"/>
    <w:rsid w:val="009830A7"/>
    <w:rsid w:val="00983CCB"/>
    <w:rsid w:val="00983F06"/>
    <w:rsid w:val="00984343"/>
    <w:rsid w:val="009868A0"/>
    <w:rsid w:val="00990EA7"/>
    <w:rsid w:val="00992FA7"/>
    <w:rsid w:val="0099597C"/>
    <w:rsid w:val="0099762B"/>
    <w:rsid w:val="009A1068"/>
    <w:rsid w:val="009A39C1"/>
    <w:rsid w:val="009B1E3D"/>
    <w:rsid w:val="009B1EA6"/>
    <w:rsid w:val="009B40AB"/>
    <w:rsid w:val="009B415F"/>
    <w:rsid w:val="009B4388"/>
    <w:rsid w:val="009C153D"/>
    <w:rsid w:val="009C1689"/>
    <w:rsid w:val="009C2BBA"/>
    <w:rsid w:val="009C3F82"/>
    <w:rsid w:val="009C48BB"/>
    <w:rsid w:val="009C6A93"/>
    <w:rsid w:val="009D3811"/>
    <w:rsid w:val="009D3D6E"/>
    <w:rsid w:val="009D4017"/>
    <w:rsid w:val="009E17EE"/>
    <w:rsid w:val="009E21A2"/>
    <w:rsid w:val="009E4DB5"/>
    <w:rsid w:val="009E5AB3"/>
    <w:rsid w:val="009E60A6"/>
    <w:rsid w:val="009E6E1E"/>
    <w:rsid w:val="009F0611"/>
    <w:rsid w:val="009F3220"/>
    <w:rsid w:val="009F73CB"/>
    <w:rsid w:val="009F7525"/>
    <w:rsid w:val="00A0249E"/>
    <w:rsid w:val="00A06A73"/>
    <w:rsid w:val="00A1051D"/>
    <w:rsid w:val="00A116BE"/>
    <w:rsid w:val="00A13085"/>
    <w:rsid w:val="00A14574"/>
    <w:rsid w:val="00A15346"/>
    <w:rsid w:val="00A17802"/>
    <w:rsid w:val="00A203BC"/>
    <w:rsid w:val="00A20F79"/>
    <w:rsid w:val="00A21B6A"/>
    <w:rsid w:val="00A27D4F"/>
    <w:rsid w:val="00A30CBA"/>
    <w:rsid w:val="00A30D7E"/>
    <w:rsid w:val="00A31943"/>
    <w:rsid w:val="00A348F9"/>
    <w:rsid w:val="00A37024"/>
    <w:rsid w:val="00A370D3"/>
    <w:rsid w:val="00A42AD1"/>
    <w:rsid w:val="00A42DBD"/>
    <w:rsid w:val="00A445F0"/>
    <w:rsid w:val="00A44FE5"/>
    <w:rsid w:val="00A460EA"/>
    <w:rsid w:val="00A50F96"/>
    <w:rsid w:val="00A566DF"/>
    <w:rsid w:val="00A57B72"/>
    <w:rsid w:val="00A60788"/>
    <w:rsid w:val="00A60FF7"/>
    <w:rsid w:val="00A613EE"/>
    <w:rsid w:val="00A6494A"/>
    <w:rsid w:val="00A66852"/>
    <w:rsid w:val="00A70360"/>
    <w:rsid w:val="00A761CA"/>
    <w:rsid w:val="00A767F8"/>
    <w:rsid w:val="00A80B3E"/>
    <w:rsid w:val="00A80FEB"/>
    <w:rsid w:val="00A82485"/>
    <w:rsid w:val="00A8248C"/>
    <w:rsid w:val="00A8331D"/>
    <w:rsid w:val="00A83C04"/>
    <w:rsid w:val="00A8601F"/>
    <w:rsid w:val="00A870D6"/>
    <w:rsid w:val="00A9428B"/>
    <w:rsid w:val="00A972B1"/>
    <w:rsid w:val="00A97B83"/>
    <w:rsid w:val="00AA191B"/>
    <w:rsid w:val="00AA21E0"/>
    <w:rsid w:val="00AA464D"/>
    <w:rsid w:val="00AA4978"/>
    <w:rsid w:val="00AA7D26"/>
    <w:rsid w:val="00AB170D"/>
    <w:rsid w:val="00AB1E78"/>
    <w:rsid w:val="00AB3699"/>
    <w:rsid w:val="00AB3AD5"/>
    <w:rsid w:val="00AB40C9"/>
    <w:rsid w:val="00AB5094"/>
    <w:rsid w:val="00AB620E"/>
    <w:rsid w:val="00AB6294"/>
    <w:rsid w:val="00AB6DC6"/>
    <w:rsid w:val="00AC0CEA"/>
    <w:rsid w:val="00AC1A4A"/>
    <w:rsid w:val="00AC23B7"/>
    <w:rsid w:val="00AC5786"/>
    <w:rsid w:val="00AC5D15"/>
    <w:rsid w:val="00AC6DDA"/>
    <w:rsid w:val="00AD2B47"/>
    <w:rsid w:val="00AD61ED"/>
    <w:rsid w:val="00AE07C9"/>
    <w:rsid w:val="00AE43CC"/>
    <w:rsid w:val="00AF30D3"/>
    <w:rsid w:val="00AF43AB"/>
    <w:rsid w:val="00AF4997"/>
    <w:rsid w:val="00B05623"/>
    <w:rsid w:val="00B10780"/>
    <w:rsid w:val="00B16B77"/>
    <w:rsid w:val="00B245CC"/>
    <w:rsid w:val="00B268A7"/>
    <w:rsid w:val="00B2711A"/>
    <w:rsid w:val="00B31933"/>
    <w:rsid w:val="00B33786"/>
    <w:rsid w:val="00B4152D"/>
    <w:rsid w:val="00B43632"/>
    <w:rsid w:val="00B4639C"/>
    <w:rsid w:val="00B46587"/>
    <w:rsid w:val="00B513E5"/>
    <w:rsid w:val="00B56D5A"/>
    <w:rsid w:val="00B56F14"/>
    <w:rsid w:val="00B60CE3"/>
    <w:rsid w:val="00B62F24"/>
    <w:rsid w:val="00B64B94"/>
    <w:rsid w:val="00B663D8"/>
    <w:rsid w:val="00B676B7"/>
    <w:rsid w:val="00B73D7D"/>
    <w:rsid w:val="00B7465B"/>
    <w:rsid w:val="00B76F60"/>
    <w:rsid w:val="00B838AE"/>
    <w:rsid w:val="00B861B6"/>
    <w:rsid w:val="00B878D2"/>
    <w:rsid w:val="00B91B05"/>
    <w:rsid w:val="00B92BA3"/>
    <w:rsid w:val="00B951DF"/>
    <w:rsid w:val="00B966A8"/>
    <w:rsid w:val="00B96883"/>
    <w:rsid w:val="00BA032C"/>
    <w:rsid w:val="00BA2B99"/>
    <w:rsid w:val="00BA61D3"/>
    <w:rsid w:val="00BB3316"/>
    <w:rsid w:val="00BB38EE"/>
    <w:rsid w:val="00BB45AC"/>
    <w:rsid w:val="00BB7177"/>
    <w:rsid w:val="00BC068A"/>
    <w:rsid w:val="00BC13A3"/>
    <w:rsid w:val="00BC169A"/>
    <w:rsid w:val="00BC4145"/>
    <w:rsid w:val="00BC4B8B"/>
    <w:rsid w:val="00BD5C83"/>
    <w:rsid w:val="00BE22CD"/>
    <w:rsid w:val="00BE35FB"/>
    <w:rsid w:val="00BE7966"/>
    <w:rsid w:val="00BF1C66"/>
    <w:rsid w:val="00BF1D2D"/>
    <w:rsid w:val="00BF736C"/>
    <w:rsid w:val="00C0125B"/>
    <w:rsid w:val="00C016FA"/>
    <w:rsid w:val="00C027CE"/>
    <w:rsid w:val="00C02A50"/>
    <w:rsid w:val="00C02F29"/>
    <w:rsid w:val="00C05487"/>
    <w:rsid w:val="00C1113B"/>
    <w:rsid w:val="00C11A93"/>
    <w:rsid w:val="00C12E8E"/>
    <w:rsid w:val="00C136C5"/>
    <w:rsid w:val="00C14742"/>
    <w:rsid w:val="00C15F7B"/>
    <w:rsid w:val="00C20631"/>
    <w:rsid w:val="00C20CD7"/>
    <w:rsid w:val="00C2130B"/>
    <w:rsid w:val="00C213A7"/>
    <w:rsid w:val="00C21887"/>
    <w:rsid w:val="00C26181"/>
    <w:rsid w:val="00C27F25"/>
    <w:rsid w:val="00C31A56"/>
    <w:rsid w:val="00C32FC1"/>
    <w:rsid w:val="00C36518"/>
    <w:rsid w:val="00C47EF3"/>
    <w:rsid w:val="00C54F81"/>
    <w:rsid w:val="00C56505"/>
    <w:rsid w:val="00C631E2"/>
    <w:rsid w:val="00C6320C"/>
    <w:rsid w:val="00C6615E"/>
    <w:rsid w:val="00C6649B"/>
    <w:rsid w:val="00C7184B"/>
    <w:rsid w:val="00C74B73"/>
    <w:rsid w:val="00C82BD6"/>
    <w:rsid w:val="00C91482"/>
    <w:rsid w:val="00C9217C"/>
    <w:rsid w:val="00CA1996"/>
    <w:rsid w:val="00CA2F1F"/>
    <w:rsid w:val="00CA32D9"/>
    <w:rsid w:val="00CA3F7B"/>
    <w:rsid w:val="00CA6EE6"/>
    <w:rsid w:val="00CB231B"/>
    <w:rsid w:val="00CB36E1"/>
    <w:rsid w:val="00CC1CC7"/>
    <w:rsid w:val="00CC2760"/>
    <w:rsid w:val="00CC394D"/>
    <w:rsid w:val="00CC597F"/>
    <w:rsid w:val="00CC638C"/>
    <w:rsid w:val="00CD25CB"/>
    <w:rsid w:val="00CD29C0"/>
    <w:rsid w:val="00CD532C"/>
    <w:rsid w:val="00CD561E"/>
    <w:rsid w:val="00CD6859"/>
    <w:rsid w:val="00CD7438"/>
    <w:rsid w:val="00CE0F4C"/>
    <w:rsid w:val="00CE34BD"/>
    <w:rsid w:val="00CE683F"/>
    <w:rsid w:val="00CF5353"/>
    <w:rsid w:val="00D009BD"/>
    <w:rsid w:val="00D01AA1"/>
    <w:rsid w:val="00D04D92"/>
    <w:rsid w:val="00D0587B"/>
    <w:rsid w:val="00D06813"/>
    <w:rsid w:val="00D07A11"/>
    <w:rsid w:val="00D1293D"/>
    <w:rsid w:val="00D16DEB"/>
    <w:rsid w:val="00D2518A"/>
    <w:rsid w:val="00D316D2"/>
    <w:rsid w:val="00D3695F"/>
    <w:rsid w:val="00D4385B"/>
    <w:rsid w:val="00D45511"/>
    <w:rsid w:val="00D457C4"/>
    <w:rsid w:val="00D510BE"/>
    <w:rsid w:val="00D515DD"/>
    <w:rsid w:val="00D5661F"/>
    <w:rsid w:val="00D568F9"/>
    <w:rsid w:val="00D57B65"/>
    <w:rsid w:val="00D57FB1"/>
    <w:rsid w:val="00D62AF0"/>
    <w:rsid w:val="00D63776"/>
    <w:rsid w:val="00D659CD"/>
    <w:rsid w:val="00D65D2E"/>
    <w:rsid w:val="00D66897"/>
    <w:rsid w:val="00D70436"/>
    <w:rsid w:val="00D71070"/>
    <w:rsid w:val="00D73599"/>
    <w:rsid w:val="00D74336"/>
    <w:rsid w:val="00D769ED"/>
    <w:rsid w:val="00D76BCD"/>
    <w:rsid w:val="00D81455"/>
    <w:rsid w:val="00D81B74"/>
    <w:rsid w:val="00D844D7"/>
    <w:rsid w:val="00D90404"/>
    <w:rsid w:val="00D918FD"/>
    <w:rsid w:val="00D939E8"/>
    <w:rsid w:val="00D97006"/>
    <w:rsid w:val="00DA08F7"/>
    <w:rsid w:val="00DA1CA0"/>
    <w:rsid w:val="00DA3490"/>
    <w:rsid w:val="00DA54B7"/>
    <w:rsid w:val="00DB204E"/>
    <w:rsid w:val="00DB637C"/>
    <w:rsid w:val="00DB7D55"/>
    <w:rsid w:val="00DC288D"/>
    <w:rsid w:val="00DC6448"/>
    <w:rsid w:val="00DD2036"/>
    <w:rsid w:val="00DD31A9"/>
    <w:rsid w:val="00DD513F"/>
    <w:rsid w:val="00DD6465"/>
    <w:rsid w:val="00DD79B7"/>
    <w:rsid w:val="00DF04C3"/>
    <w:rsid w:val="00DF18BE"/>
    <w:rsid w:val="00DF5662"/>
    <w:rsid w:val="00DF59AD"/>
    <w:rsid w:val="00DF6FD8"/>
    <w:rsid w:val="00E01AEC"/>
    <w:rsid w:val="00E0231B"/>
    <w:rsid w:val="00E04CEB"/>
    <w:rsid w:val="00E07E42"/>
    <w:rsid w:val="00E14D21"/>
    <w:rsid w:val="00E15539"/>
    <w:rsid w:val="00E164F0"/>
    <w:rsid w:val="00E16F0F"/>
    <w:rsid w:val="00E20194"/>
    <w:rsid w:val="00E20B1E"/>
    <w:rsid w:val="00E2107D"/>
    <w:rsid w:val="00E250EB"/>
    <w:rsid w:val="00E33C24"/>
    <w:rsid w:val="00E34CA7"/>
    <w:rsid w:val="00E4286A"/>
    <w:rsid w:val="00E47A05"/>
    <w:rsid w:val="00E47D95"/>
    <w:rsid w:val="00E529CB"/>
    <w:rsid w:val="00E53B64"/>
    <w:rsid w:val="00E56E4F"/>
    <w:rsid w:val="00E61C1C"/>
    <w:rsid w:val="00E64690"/>
    <w:rsid w:val="00E64E0E"/>
    <w:rsid w:val="00E714E9"/>
    <w:rsid w:val="00E726C4"/>
    <w:rsid w:val="00E751B6"/>
    <w:rsid w:val="00E7744A"/>
    <w:rsid w:val="00E812A2"/>
    <w:rsid w:val="00E8596B"/>
    <w:rsid w:val="00EA1DB4"/>
    <w:rsid w:val="00EA2ADD"/>
    <w:rsid w:val="00EA2BAE"/>
    <w:rsid w:val="00EA3256"/>
    <w:rsid w:val="00EA5A8A"/>
    <w:rsid w:val="00EA64D8"/>
    <w:rsid w:val="00EA763F"/>
    <w:rsid w:val="00EA7A76"/>
    <w:rsid w:val="00EB0250"/>
    <w:rsid w:val="00EB0ADB"/>
    <w:rsid w:val="00EB1D06"/>
    <w:rsid w:val="00EB4F03"/>
    <w:rsid w:val="00EB5BA7"/>
    <w:rsid w:val="00EB5FE1"/>
    <w:rsid w:val="00EB7219"/>
    <w:rsid w:val="00EC2F8D"/>
    <w:rsid w:val="00EC4B79"/>
    <w:rsid w:val="00EC5BA8"/>
    <w:rsid w:val="00EC784F"/>
    <w:rsid w:val="00ED4F1F"/>
    <w:rsid w:val="00EE07AC"/>
    <w:rsid w:val="00EE18CC"/>
    <w:rsid w:val="00EE46B5"/>
    <w:rsid w:val="00EE4BA3"/>
    <w:rsid w:val="00EE73AC"/>
    <w:rsid w:val="00EF4234"/>
    <w:rsid w:val="00EF578D"/>
    <w:rsid w:val="00F01A10"/>
    <w:rsid w:val="00F069F5"/>
    <w:rsid w:val="00F06A4D"/>
    <w:rsid w:val="00F071F5"/>
    <w:rsid w:val="00F15A02"/>
    <w:rsid w:val="00F15F92"/>
    <w:rsid w:val="00F20C06"/>
    <w:rsid w:val="00F22DF3"/>
    <w:rsid w:val="00F23AF1"/>
    <w:rsid w:val="00F256A1"/>
    <w:rsid w:val="00F25F6F"/>
    <w:rsid w:val="00F268D2"/>
    <w:rsid w:val="00F26A4C"/>
    <w:rsid w:val="00F3643F"/>
    <w:rsid w:val="00F40D5E"/>
    <w:rsid w:val="00F41492"/>
    <w:rsid w:val="00F458F5"/>
    <w:rsid w:val="00F477F4"/>
    <w:rsid w:val="00F51358"/>
    <w:rsid w:val="00F536D2"/>
    <w:rsid w:val="00F604EC"/>
    <w:rsid w:val="00F614D2"/>
    <w:rsid w:val="00F63F21"/>
    <w:rsid w:val="00F65CCD"/>
    <w:rsid w:val="00F724BB"/>
    <w:rsid w:val="00F73259"/>
    <w:rsid w:val="00F739BC"/>
    <w:rsid w:val="00F74C8E"/>
    <w:rsid w:val="00F836FA"/>
    <w:rsid w:val="00F85FCC"/>
    <w:rsid w:val="00F8761B"/>
    <w:rsid w:val="00F9223F"/>
    <w:rsid w:val="00FA002D"/>
    <w:rsid w:val="00FA3BB8"/>
    <w:rsid w:val="00FA50C0"/>
    <w:rsid w:val="00FA5F12"/>
    <w:rsid w:val="00FA635D"/>
    <w:rsid w:val="00FA6605"/>
    <w:rsid w:val="00FB1CB4"/>
    <w:rsid w:val="00FB23D3"/>
    <w:rsid w:val="00FB5276"/>
    <w:rsid w:val="00FB54B1"/>
    <w:rsid w:val="00FB6671"/>
    <w:rsid w:val="00FB67EE"/>
    <w:rsid w:val="00FB77B1"/>
    <w:rsid w:val="00FC02F0"/>
    <w:rsid w:val="00FC3656"/>
    <w:rsid w:val="00FC3A6A"/>
    <w:rsid w:val="00FC7BD1"/>
    <w:rsid w:val="00FC7C3C"/>
    <w:rsid w:val="00FD24D5"/>
    <w:rsid w:val="00FD3290"/>
    <w:rsid w:val="00FD604F"/>
    <w:rsid w:val="00FE4DEE"/>
    <w:rsid w:val="00FF0BB1"/>
    <w:rsid w:val="00FF4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5EFCE-086C-4D00-A08C-A12E7FAD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F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85FCC"/>
    <w:rPr>
      <w:color w:val="0000FF"/>
      <w:u w:val="single"/>
    </w:rPr>
  </w:style>
  <w:style w:type="character" w:customStyle="1" w:styleId="hps">
    <w:name w:val="hps"/>
    <w:basedOn w:val="a0"/>
    <w:rsid w:val="00F85FCC"/>
  </w:style>
  <w:style w:type="paragraph" w:customStyle="1" w:styleId="Normal11ptjustified">
    <w:name w:val="Normal 11pt justified"/>
    <w:basedOn w:val="a"/>
    <w:rsid w:val="00F85FCC"/>
    <w:pPr>
      <w:tabs>
        <w:tab w:val="left" w:pos="504"/>
      </w:tabs>
      <w:spacing w:after="0" w:line="240" w:lineRule="auto"/>
      <w:jc w:val="both"/>
    </w:pPr>
    <w:rPr>
      <w:rFonts w:ascii="Times New Roman" w:eastAsia="Times New Roman" w:hAnsi="Times New Roman"/>
      <w:lang w:val="en-GB"/>
    </w:rPr>
  </w:style>
  <w:style w:type="paragraph" w:customStyle="1" w:styleId="SectionHeading">
    <w:name w:val="Section Heading"/>
    <w:basedOn w:val="a"/>
    <w:uiPriority w:val="99"/>
    <w:rsid w:val="00F85FCC"/>
    <w:pPr>
      <w:tabs>
        <w:tab w:val="left" w:pos="504"/>
      </w:tabs>
      <w:spacing w:before="240" w:after="240" w:line="240" w:lineRule="auto"/>
    </w:pPr>
    <w:rPr>
      <w:rFonts w:ascii="Times New Roman" w:eastAsia="Times New Roman" w:hAnsi="Times New Roman"/>
      <w:b/>
      <w:bCs/>
      <w:lang w:val="en-GB"/>
    </w:rPr>
  </w:style>
  <w:style w:type="paragraph" w:styleId="a4">
    <w:name w:val="Balloon Text"/>
    <w:basedOn w:val="a"/>
    <w:link w:val="a5"/>
    <w:uiPriority w:val="99"/>
    <w:semiHidden/>
    <w:unhideWhenUsed/>
    <w:rsid w:val="00F85F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5FCC"/>
    <w:rPr>
      <w:rFonts w:ascii="Tahoma" w:eastAsia="Calibri" w:hAnsi="Tahoma" w:cs="Tahoma"/>
      <w:sz w:val="16"/>
      <w:szCs w:val="16"/>
    </w:rPr>
  </w:style>
  <w:style w:type="character" w:styleId="a6">
    <w:name w:val="Emphasis"/>
    <w:basedOn w:val="a0"/>
    <w:uiPriority w:val="20"/>
    <w:qFormat/>
    <w:rsid w:val="00983CCB"/>
    <w:rPr>
      <w:i/>
      <w:iCs/>
    </w:rPr>
  </w:style>
  <w:style w:type="character" w:styleId="a7">
    <w:name w:val="Strong"/>
    <w:basedOn w:val="a0"/>
    <w:uiPriority w:val="22"/>
    <w:qFormat/>
    <w:rsid w:val="00983CCB"/>
    <w:rPr>
      <w:b/>
      <w:bCs/>
    </w:rPr>
  </w:style>
  <w:style w:type="paragraph" w:styleId="a8">
    <w:name w:val="List Paragraph"/>
    <w:basedOn w:val="a"/>
    <w:uiPriority w:val="34"/>
    <w:qFormat/>
    <w:rsid w:val="00EB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hyperlink" Target="mailto:najafabadipour@ut.ac.ir"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619</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Amea-B</dc:creator>
  <cp:lastModifiedBy>Acer</cp:lastModifiedBy>
  <cp:revision>3</cp:revision>
  <dcterms:created xsi:type="dcterms:W3CDTF">2017-10-20T07:49:00Z</dcterms:created>
  <dcterms:modified xsi:type="dcterms:W3CDTF">2017-10-25T06:22:00Z</dcterms:modified>
</cp:coreProperties>
</file>